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D75B9" w14:textId="642B4EC9" w:rsidR="00FD3E7E" w:rsidRPr="00F93938" w:rsidRDefault="00FD3E7E" w:rsidP="00AD60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AE9EBCF" w14:textId="77777777" w:rsidR="00FD3E7E" w:rsidRPr="00F93938" w:rsidRDefault="00FD3E7E" w:rsidP="00AD604E">
      <w:pPr>
        <w:rPr>
          <w:rFonts w:ascii="Times New Roman" w:hAnsi="Times New Roman" w:cs="Times New Roman"/>
          <w:sz w:val="24"/>
          <w:szCs w:val="24"/>
        </w:rPr>
      </w:pPr>
    </w:p>
    <w:p w14:paraId="3D039479" w14:textId="4F7603D1" w:rsidR="00F528EE" w:rsidRDefault="00F528EE" w:rsidP="00922047">
      <w:pPr>
        <w:tabs>
          <w:tab w:val="left" w:pos="851"/>
          <w:tab w:val="center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0E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OBRAZLOŽENJE </w:t>
      </w:r>
      <w:r w:rsidR="009220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III. IZMJENE I DOPUNE FINANCIJSKOG PLANA ZA 2025. </w:t>
      </w:r>
    </w:p>
    <w:p w14:paraId="7D7D58DD" w14:textId="6C7A6C61" w:rsidR="00922047" w:rsidRDefault="00922047" w:rsidP="00922047">
      <w:pPr>
        <w:tabs>
          <w:tab w:val="left" w:pos="851"/>
          <w:tab w:val="center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220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(1.10.2025. -31.12.2025.)</w:t>
      </w:r>
    </w:p>
    <w:p w14:paraId="2F9CACA4" w14:textId="2897DC88" w:rsidR="00922047" w:rsidRDefault="00922047" w:rsidP="00922047">
      <w:pPr>
        <w:tabs>
          <w:tab w:val="left" w:pos="851"/>
          <w:tab w:val="center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4F415C9" w14:textId="2EBC354F" w:rsidR="00922047" w:rsidRPr="00922047" w:rsidRDefault="00922047" w:rsidP="00922047">
      <w:pPr>
        <w:tabs>
          <w:tab w:val="left" w:pos="851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20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NAZIV KORISNIKA: SREDNJA ŠKOLA ˝AUGUST ŠENOA˝ GAREŠNICA</w:t>
      </w:r>
    </w:p>
    <w:p w14:paraId="0555F105" w14:textId="77777777" w:rsidR="00922047" w:rsidRPr="00922047" w:rsidRDefault="00922047" w:rsidP="00922047">
      <w:pPr>
        <w:tabs>
          <w:tab w:val="left" w:pos="851"/>
          <w:tab w:val="center" w:pos="6663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36E5EA5" w14:textId="245E6699" w:rsidR="00222052" w:rsidRPr="00503DE9" w:rsidRDefault="00922047" w:rsidP="00AD604E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ORGANIZACIJSKA JEDINICA</w:t>
      </w:r>
      <w:r w:rsidR="00FD3E7E" w:rsidRPr="00503DE9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B5077A" w:rsidRPr="00503DE9">
        <w:rPr>
          <w:rFonts w:ascii="Times New Roman" w:hAnsi="Times New Roman" w:cs="Times New Roman"/>
          <w:b/>
          <w:iCs/>
          <w:sz w:val="24"/>
          <w:szCs w:val="24"/>
        </w:rPr>
        <w:t xml:space="preserve"> 25 03 01 112</w:t>
      </w:r>
    </w:p>
    <w:p w14:paraId="13377B74" w14:textId="23C0B761" w:rsidR="004B3BA6" w:rsidRPr="00361B33" w:rsidRDefault="00AD604E" w:rsidP="004B3BA6">
      <w:pPr>
        <w:rPr>
          <w:rFonts w:ascii="Times New Roman" w:hAnsi="Times New Roman" w:cs="Times New Roman"/>
          <w:bCs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D</w:t>
      </w:r>
      <w:r w:rsidR="004B3BA6">
        <w:rPr>
          <w:rFonts w:ascii="Times New Roman" w:hAnsi="Times New Roman" w:cs="Times New Roman"/>
          <w:b/>
          <w:sz w:val="24"/>
          <w:szCs w:val="24"/>
        </w:rPr>
        <w:t>J</w:t>
      </w:r>
      <w:r w:rsidRPr="005B64F1">
        <w:rPr>
          <w:rFonts w:ascii="Times New Roman" w:hAnsi="Times New Roman" w:cs="Times New Roman"/>
          <w:b/>
          <w:sz w:val="24"/>
          <w:szCs w:val="24"/>
        </w:rPr>
        <w:t>ELOKRUG RADA</w:t>
      </w:r>
      <w:r w:rsidR="00D27E17" w:rsidRPr="005B64F1">
        <w:rPr>
          <w:rFonts w:ascii="Times New Roman" w:hAnsi="Times New Roman" w:cs="Times New Roman"/>
          <w:b/>
          <w:sz w:val="24"/>
          <w:szCs w:val="24"/>
        </w:rPr>
        <w:t>:</w:t>
      </w:r>
    </w:p>
    <w:p w14:paraId="3015C58A" w14:textId="77777777" w:rsidR="00137572" w:rsidRPr="00361B33" w:rsidRDefault="00137572" w:rsidP="00137572">
      <w:pPr>
        <w:pStyle w:val="Default"/>
      </w:pPr>
      <w:r w:rsidRPr="00361B33">
        <w:t xml:space="preserve">Škola je utemeljena 1961. godine kao Gimnazija u Garešnici. </w:t>
      </w:r>
    </w:p>
    <w:p w14:paraId="4E480245" w14:textId="77777777" w:rsidR="00137572" w:rsidRPr="00361B33" w:rsidRDefault="00137572" w:rsidP="00137572">
      <w:pPr>
        <w:pStyle w:val="Default"/>
      </w:pPr>
      <w:r w:rsidRPr="00361B33">
        <w:t xml:space="preserve">Godine 1969. integracijom Gimnazije i Narodnog sveučilišta nastaje Centar za obrazovanje i kulturu Garešnica, a 1989. godine Centar za usmjereno obrazovanje „9. maj” Garešnica. </w:t>
      </w:r>
    </w:p>
    <w:p w14:paraId="3B8BE151" w14:textId="77777777" w:rsidR="00137572" w:rsidRPr="00361B33" w:rsidRDefault="00137572" w:rsidP="00137572">
      <w:pPr>
        <w:pStyle w:val="Default"/>
      </w:pPr>
      <w:r w:rsidRPr="00361B33">
        <w:t xml:space="preserve">Od 14. lipnja 1993. godine Škola djeluje pod nazivom Srednja škola “August Šenoa” Garešnica. </w:t>
      </w:r>
    </w:p>
    <w:p w14:paraId="3347C580" w14:textId="004FA883" w:rsidR="00137572" w:rsidRPr="00361B33" w:rsidRDefault="00137572" w:rsidP="00137572">
      <w:pPr>
        <w:rPr>
          <w:rFonts w:ascii="Times New Roman" w:hAnsi="Times New Roman" w:cs="Times New Roman"/>
          <w:b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Rješenjem Ministarstva kulture i prosvjete KLASA: 602-03/92-01-506, URBROJ: 532-02-2/1-92-01 od 22. ožujka 1993. godine, rješenjima Ministarstva prosvjete i športa KLASA: 602-02/96-01/522, URBROJ: 532-02-2/6-96-01 od 3. travnja 1996. godine, KLASA: UP/I-602-03/05-05/00124, URBROJ: 533-09-06-07 od 21. ožujka 2006. godine i KLASA: UP/I-602-03/07-05/00012, URBROJ:533-09-07-0006 od 5.travnja 2007. godine, odlukom Ministarstva znanosti, obrazovanja i sporta KLASA: 602-03/13- 05/00109, URBROJ: 533-25-13-0002 od 2. prosinca 2013. godine te odlukom Ministarstva znanosti i obrazovanja KLASA: UP/I-602-03/17-05/00012, URBROJ: 533- 25-17-0004 od 3. srpnja 2017. godine, škola izvodi sljedeće nastavne planove i programe:</w:t>
      </w:r>
    </w:p>
    <w:p w14:paraId="3D1038C3" w14:textId="77777777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 xml:space="preserve">GIMNAZIJA - opća gimnazija </w:t>
      </w:r>
    </w:p>
    <w:p w14:paraId="325E5FBE" w14:textId="77777777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OBRAZOVNI SEKTOR: TURIZAM I UGOSTITELJSTVO - turističko-hotelijerski komercijalist, tehničar za ugostiteljstvo - kuhar - konobar</w:t>
      </w:r>
      <w:r w:rsidRPr="00361B33">
        <w:rPr>
          <w:rFonts w:ascii="Times New Roman" w:hAnsi="Times New Roman" w:cs="Times New Roman"/>
          <w:sz w:val="24"/>
          <w:szCs w:val="24"/>
        </w:rPr>
        <w:br/>
        <w:t>OBRAZOVNI SEKTOR: ŠUMARSTVO, PRERADA I OBRADA DRVA – stolar</w:t>
      </w:r>
    </w:p>
    <w:p w14:paraId="698BB9C3" w14:textId="77777777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 xml:space="preserve">OBRAZOVNI SEKTOR: STROJARSTVO, BRODOGRADNJA I METALURGIJA - instalater grijanja i </w:t>
      </w:r>
      <w:r w:rsidRPr="00361B33">
        <w:rPr>
          <w:rFonts w:ascii="Times New Roman" w:hAnsi="Times New Roman" w:cs="Times New Roman"/>
          <w:sz w:val="24"/>
          <w:szCs w:val="24"/>
        </w:rPr>
        <w:br/>
        <w:t>klimatizacije, monter strojarskih instalacija</w:t>
      </w:r>
    </w:p>
    <w:p w14:paraId="30626175" w14:textId="77777777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 xml:space="preserve">OBRAZOVNI SEKTOR: OSOBNE, USLUGE ZAŠTITE I DRUGE USLUGE - frizer </w:t>
      </w:r>
    </w:p>
    <w:p w14:paraId="49418365" w14:textId="77777777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OBRAZOVNI SEKTOR: GRAFIČKA TEHNOLOGIJA I AUDIO-VIZUALNO OBLIKOVANJE- grafički tehničar, dizajner grafičkih proizvoda</w:t>
      </w:r>
    </w:p>
    <w:p w14:paraId="3B0E57C0" w14:textId="28A26A12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 xml:space="preserve">UČENIČKI DOM: odgojno-obrazovni rad, smještaj, prehrana i drugi oblici odgojno-obrazovnog </w:t>
      </w:r>
      <w:r w:rsidRPr="00361B33">
        <w:rPr>
          <w:rFonts w:ascii="Times New Roman" w:hAnsi="Times New Roman" w:cs="Times New Roman"/>
          <w:sz w:val="24"/>
          <w:szCs w:val="24"/>
        </w:rPr>
        <w:br/>
        <w:t>rada s učenicima smještenim u Učeničkom domu.</w:t>
      </w:r>
    </w:p>
    <w:p w14:paraId="79CC0AA1" w14:textId="77777777" w:rsidR="00137572" w:rsidRPr="00361B33" w:rsidRDefault="00137572" w:rsidP="004B3BA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4AA00E9" w14:textId="6F78C98E" w:rsidR="004B3BA6" w:rsidRPr="00361B33" w:rsidRDefault="004B3BA6" w:rsidP="004B3BA6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Škola obavlja djelatnost odgoja i obrazovanja te smještaja i prehrane učenika na četiri lokacije:</w:t>
      </w:r>
    </w:p>
    <w:p w14:paraId="08F19D60" w14:textId="77777777" w:rsidR="004B3BA6" w:rsidRPr="00361B33" w:rsidRDefault="004B3BA6" w:rsidP="004B3BA6">
      <w:pPr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Školska zgrada, Kolodvorska 6, ukupna površina zatvorenog prostora 1913,76m2</w:t>
      </w:r>
      <w:r w:rsidRPr="00361B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61B33">
        <w:rPr>
          <w:rFonts w:ascii="Times New Roman" w:hAnsi="Times New Roman" w:cs="Times New Roman"/>
          <w:sz w:val="24"/>
          <w:szCs w:val="24"/>
        </w:rPr>
        <w:t>Učenički dom, Kolodvorska 33, ukupna površina zatvorenog prostora 1739,04m2</w:t>
      </w:r>
      <w:r w:rsidRPr="00361B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61B33">
        <w:rPr>
          <w:rFonts w:ascii="Times New Roman" w:hAnsi="Times New Roman" w:cs="Times New Roman"/>
          <w:sz w:val="24"/>
          <w:szCs w:val="24"/>
        </w:rPr>
        <w:t>Školske radionice, Kolodvorska 27,</w:t>
      </w:r>
      <w:r w:rsidRPr="00361B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61B33">
        <w:rPr>
          <w:rFonts w:ascii="Times New Roman" w:hAnsi="Times New Roman" w:cs="Times New Roman"/>
          <w:sz w:val="24"/>
          <w:szCs w:val="24"/>
        </w:rPr>
        <w:t>ukupna površina zatvorenog prostora   410,80m2</w:t>
      </w:r>
      <w:r w:rsidRPr="00361B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61B33">
        <w:rPr>
          <w:rFonts w:ascii="Times New Roman" w:hAnsi="Times New Roman" w:cs="Times New Roman"/>
          <w:sz w:val="24"/>
          <w:szCs w:val="24"/>
        </w:rPr>
        <w:t>Školsko-športska dvorana, P. Svačića 11g</w:t>
      </w:r>
      <w:r w:rsidRPr="00361B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361B33">
        <w:rPr>
          <w:rFonts w:ascii="Times New Roman" w:hAnsi="Times New Roman" w:cs="Times New Roman"/>
          <w:sz w:val="24"/>
          <w:szCs w:val="24"/>
        </w:rPr>
        <w:t>ukupna površina zatvorenog prostora  2945,27m2</w:t>
      </w:r>
    </w:p>
    <w:p w14:paraId="6CFF682D" w14:textId="69DB8645" w:rsidR="004B3BA6" w:rsidRPr="00361B33" w:rsidRDefault="004B3BA6" w:rsidP="004B3BA6">
      <w:pPr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lastRenderedPageBreak/>
        <w:t>Ukupna površina zatvorenog prostora na sve četiri lokacije je  7.008,87m2.</w:t>
      </w:r>
      <w:r w:rsidRPr="00361B33">
        <w:rPr>
          <w:rFonts w:ascii="Times New Roman" w:hAnsi="Times New Roman" w:cs="Times New Roman"/>
          <w:sz w:val="24"/>
          <w:szCs w:val="24"/>
        </w:rPr>
        <w:br/>
        <w:t>Ukupan broj razrednih odjela iznosi 19. Školu polazi 276 učenika. U ustanovi je ukupno zaposleno 81 djelatnik. U školi je 52 nastavnika, 3 pomoćnika u nastavi, 2 stručna suradnika, 6 djelatnika administrativno-stručnog osoblja i 6 djelatnika pomoćno-tehničkog osoblja.</w:t>
      </w:r>
      <w:r w:rsidRPr="00361B33">
        <w:rPr>
          <w:rFonts w:ascii="Times New Roman" w:hAnsi="Times New Roman" w:cs="Times New Roman"/>
          <w:sz w:val="24"/>
          <w:szCs w:val="24"/>
        </w:rPr>
        <w:br/>
      </w:r>
      <w:r w:rsidRPr="00361B33">
        <w:rPr>
          <w:rFonts w:ascii="Times New Roman" w:hAnsi="Times New Roman" w:cs="Times New Roman"/>
          <w:sz w:val="24"/>
          <w:szCs w:val="24"/>
        </w:rPr>
        <w:br/>
        <w:t>Ukupan broj razrednih odjela iznosi 19. Školu polazi 27</w:t>
      </w:r>
      <w:r w:rsidR="00137572" w:rsidRPr="00361B33">
        <w:rPr>
          <w:rFonts w:ascii="Times New Roman" w:hAnsi="Times New Roman" w:cs="Times New Roman"/>
          <w:sz w:val="24"/>
          <w:szCs w:val="24"/>
        </w:rPr>
        <w:t>5</w:t>
      </w:r>
      <w:r w:rsidRPr="00361B33">
        <w:rPr>
          <w:rFonts w:ascii="Times New Roman" w:hAnsi="Times New Roman" w:cs="Times New Roman"/>
          <w:sz w:val="24"/>
          <w:szCs w:val="24"/>
        </w:rPr>
        <w:t xml:space="preserve"> učenika. U ustanovi je ukupno zaposlen 81 djelatnik. U školi je </w:t>
      </w:r>
      <w:r w:rsidR="00137572" w:rsidRPr="00361B33">
        <w:rPr>
          <w:rFonts w:ascii="Times New Roman" w:hAnsi="Times New Roman" w:cs="Times New Roman"/>
          <w:sz w:val="24"/>
          <w:szCs w:val="24"/>
        </w:rPr>
        <w:t>48</w:t>
      </w:r>
      <w:r w:rsidRPr="00361B33">
        <w:rPr>
          <w:rFonts w:ascii="Times New Roman" w:hAnsi="Times New Roman" w:cs="Times New Roman"/>
          <w:sz w:val="24"/>
          <w:szCs w:val="24"/>
        </w:rPr>
        <w:t xml:space="preserve"> nastavnika, 3 pomoćnika u nastavi, 2 stručna suradnika, </w:t>
      </w:r>
      <w:r w:rsidR="00137572" w:rsidRPr="00361B33">
        <w:rPr>
          <w:rFonts w:ascii="Times New Roman" w:hAnsi="Times New Roman" w:cs="Times New Roman"/>
          <w:sz w:val="24"/>
          <w:szCs w:val="24"/>
        </w:rPr>
        <w:t>4</w:t>
      </w:r>
      <w:r w:rsidRPr="00361B33">
        <w:rPr>
          <w:rFonts w:ascii="Times New Roman" w:hAnsi="Times New Roman" w:cs="Times New Roman"/>
          <w:sz w:val="24"/>
          <w:szCs w:val="24"/>
        </w:rPr>
        <w:t xml:space="preserve"> djelatnika administrativno-stručnog osoblja i 6 djelatnika pomoćno-tehničkog osoblja. </w:t>
      </w:r>
    </w:p>
    <w:p w14:paraId="1D4C7552" w14:textId="70336EA5" w:rsidR="004B3BA6" w:rsidRPr="00361B33" w:rsidRDefault="004B3BA6" w:rsidP="004B3B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U Učeničkom domu mješovitog tipa upisano je 109 učenika. Dom ima</w:t>
      </w:r>
      <w:r w:rsidR="00026F1A" w:rsidRPr="00361B33">
        <w:rPr>
          <w:rFonts w:ascii="Times New Roman" w:hAnsi="Times New Roman" w:cs="Times New Roman"/>
          <w:sz w:val="24"/>
          <w:szCs w:val="24"/>
        </w:rPr>
        <w:t xml:space="preserve"> jednog voditelja, </w:t>
      </w:r>
      <w:r w:rsidRPr="00361B33">
        <w:rPr>
          <w:rFonts w:ascii="Times New Roman" w:hAnsi="Times New Roman" w:cs="Times New Roman"/>
          <w:sz w:val="24"/>
          <w:szCs w:val="24"/>
        </w:rPr>
        <w:t xml:space="preserve"> 6 odgajatelja, jednog noćnog pazitelja, </w:t>
      </w:r>
      <w:r w:rsidR="00026F1A" w:rsidRPr="00361B33">
        <w:rPr>
          <w:rFonts w:ascii="Times New Roman" w:hAnsi="Times New Roman" w:cs="Times New Roman"/>
          <w:sz w:val="24"/>
          <w:szCs w:val="24"/>
        </w:rPr>
        <w:t>10</w:t>
      </w:r>
      <w:r w:rsidRPr="00361B33">
        <w:rPr>
          <w:rFonts w:ascii="Times New Roman" w:hAnsi="Times New Roman" w:cs="Times New Roman"/>
          <w:sz w:val="24"/>
          <w:szCs w:val="24"/>
        </w:rPr>
        <w:t xml:space="preserve"> djelatnika pomoćnog tehničkog osoblja.</w:t>
      </w:r>
    </w:p>
    <w:p w14:paraId="193D95A5" w14:textId="77777777" w:rsidR="004B3BA6" w:rsidRPr="00361B33" w:rsidRDefault="004B3BA6" w:rsidP="004B3BA6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E1F226" w14:textId="31DB8BDC" w:rsidR="004B3BA6" w:rsidRPr="00361B33" w:rsidRDefault="004B3BA6" w:rsidP="00B32DA2">
      <w:pPr>
        <w:pStyle w:val="Odlomakpopisa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Nastava je organizirana u dvije smjene, u petodnevnom radnom tjednu. Nastava (redovna, izborna, fakultativna, dodatna i dopunska) izvodi se prema nastavnim planovima i programima MZO-a, Godišnjem planu i programu te prema Školskom kurikulumu za tekuću godinu. </w:t>
      </w:r>
    </w:p>
    <w:p w14:paraId="7BE272D7" w14:textId="314B4C06" w:rsidR="00222052" w:rsidRPr="00361B33" w:rsidRDefault="004B3BA6" w:rsidP="002E7C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Učenici u domu borave od ponedjeljka do petka, a po potrebi vikendom. </w:t>
      </w:r>
    </w:p>
    <w:p w14:paraId="30B04F0F" w14:textId="7ED0F2A5" w:rsidR="00026F1A" w:rsidRPr="00361B33" w:rsidRDefault="00B21FA9" w:rsidP="002E7C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>Dodatna nastava izvodi se iz predmeta: informatika, Hrvatski jezik, povijest, fizika</w:t>
      </w:r>
    </w:p>
    <w:p w14:paraId="6017B90E" w14:textId="30F98DE4" w:rsidR="00B21FA9" w:rsidRPr="00361B33" w:rsidRDefault="00B21FA9" w:rsidP="002E7C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>Dopunska nastava izvodi se iz predmeta: Hrvatski jezik, Engleski jezik i matematika.</w:t>
      </w:r>
    </w:p>
    <w:p w14:paraId="70C537AC" w14:textId="4C66A48C" w:rsidR="00B21FA9" w:rsidRPr="00361B33" w:rsidRDefault="00B21FA9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Izvannastavne aktivnosti: Školsko sportsko društvo ˝Sokol˝, Kreativci, </w:t>
      </w:r>
      <w:r w:rsidRPr="00361B33">
        <w:rPr>
          <w:rFonts w:ascii="Times New Roman" w:hAnsi="Times New Roman" w:cs="Times New Roman"/>
          <w:sz w:val="24"/>
          <w:szCs w:val="24"/>
        </w:rPr>
        <w:t>Raise the Bar Youth, Glagoljica danas.</w:t>
      </w:r>
    </w:p>
    <w:p w14:paraId="18C3766A" w14:textId="0D08E5E5" w:rsidR="00B21FA9" w:rsidRPr="00361B33" w:rsidRDefault="00B21FA9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Izborna nastava: informatika.</w:t>
      </w:r>
    </w:p>
    <w:p w14:paraId="29684494" w14:textId="6AFB47AE" w:rsidR="00B21FA9" w:rsidRPr="00361B33" w:rsidRDefault="00877DBA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Izvanučionička</w:t>
      </w:r>
      <w:r w:rsidR="00B21FA9" w:rsidRPr="00361B33">
        <w:rPr>
          <w:rFonts w:ascii="Times New Roman" w:hAnsi="Times New Roman" w:cs="Times New Roman"/>
          <w:sz w:val="24"/>
          <w:szCs w:val="24"/>
        </w:rPr>
        <w:t xml:space="preserve"> nastava: stručne ekskurzije i izleti</w:t>
      </w:r>
      <w:r w:rsidR="002406BC" w:rsidRPr="00361B33">
        <w:rPr>
          <w:rFonts w:ascii="Times New Roman" w:hAnsi="Times New Roman" w:cs="Times New Roman"/>
          <w:sz w:val="24"/>
          <w:szCs w:val="24"/>
        </w:rPr>
        <w:t>, terenska nastava</w:t>
      </w:r>
      <w:r w:rsidR="00CA4BDA">
        <w:rPr>
          <w:rFonts w:ascii="Times New Roman" w:hAnsi="Times New Roman" w:cs="Times New Roman"/>
          <w:sz w:val="24"/>
          <w:szCs w:val="24"/>
        </w:rPr>
        <w:t>.</w:t>
      </w:r>
    </w:p>
    <w:p w14:paraId="365B7AB9" w14:textId="32734D53" w:rsidR="002406BC" w:rsidRPr="00361B33" w:rsidRDefault="002406BC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Natjecanja: LiDraNo202</w:t>
      </w:r>
      <w:r w:rsidR="00922047">
        <w:rPr>
          <w:rFonts w:ascii="Times New Roman" w:hAnsi="Times New Roman" w:cs="Times New Roman"/>
          <w:sz w:val="24"/>
          <w:szCs w:val="24"/>
        </w:rPr>
        <w:t>5</w:t>
      </w:r>
      <w:r w:rsidRPr="00361B33">
        <w:rPr>
          <w:rFonts w:ascii="Times New Roman" w:hAnsi="Times New Roman" w:cs="Times New Roman"/>
          <w:sz w:val="24"/>
          <w:szCs w:val="24"/>
        </w:rPr>
        <w:t xml:space="preserve">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</w:t>
      </w:r>
      <w:r w:rsidR="00CA4BDA">
        <w:rPr>
          <w:rFonts w:ascii="Times New Roman" w:hAnsi="Times New Roman" w:cs="Times New Roman"/>
          <w:sz w:val="24"/>
          <w:szCs w:val="24"/>
        </w:rPr>
        <w:t>e</w:t>
      </w:r>
      <w:r w:rsidRPr="00361B33">
        <w:rPr>
          <w:rFonts w:ascii="Times New Roman" w:hAnsi="Times New Roman" w:cs="Times New Roman"/>
          <w:sz w:val="24"/>
          <w:szCs w:val="24"/>
        </w:rPr>
        <w:t xml:space="preserve">ngleskog jezika,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</w:t>
      </w:r>
      <w:r w:rsidR="00CA4BDA">
        <w:rPr>
          <w:rFonts w:ascii="Times New Roman" w:hAnsi="Times New Roman" w:cs="Times New Roman"/>
          <w:sz w:val="24"/>
          <w:szCs w:val="24"/>
        </w:rPr>
        <w:t>k</w:t>
      </w:r>
      <w:r w:rsidRPr="00361B33">
        <w:rPr>
          <w:rFonts w:ascii="Times New Roman" w:hAnsi="Times New Roman" w:cs="Times New Roman"/>
          <w:sz w:val="24"/>
          <w:szCs w:val="24"/>
        </w:rPr>
        <w:t xml:space="preserve">emije,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</w:t>
      </w:r>
      <w:r w:rsidR="00CA4BDA">
        <w:rPr>
          <w:rFonts w:ascii="Times New Roman" w:hAnsi="Times New Roman" w:cs="Times New Roman"/>
          <w:sz w:val="24"/>
          <w:szCs w:val="24"/>
        </w:rPr>
        <w:t>b</w:t>
      </w:r>
      <w:r w:rsidRPr="00361B33">
        <w:rPr>
          <w:rFonts w:ascii="Times New Roman" w:hAnsi="Times New Roman" w:cs="Times New Roman"/>
          <w:sz w:val="24"/>
          <w:szCs w:val="24"/>
        </w:rPr>
        <w:t xml:space="preserve">iologije,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povijesti,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u poznavanju hrvatskog jezika,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geografije,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vjeronauka,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– izložba iz likovnih umjetnosti – LIK, </w:t>
      </w:r>
      <w:r w:rsidR="00CA4BDA">
        <w:rPr>
          <w:rFonts w:ascii="Times New Roman" w:hAnsi="Times New Roman" w:cs="Times New Roman"/>
          <w:sz w:val="24"/>
          <w:szCs w:val="24"/>
        </w:rPr>
        <w:t>s</w:t>
      </w:r>
      <w:r w:rsidRPr="00361B33">
        <w:rPr>
          <w:rFonts w:ascii="Times New Roman" w:hAnsi="Times New Roman" w:cs="Times New Roman"/>
          <w:sz w:val="24"/>
          <w:szCs w:val="24"/>
        </w:rPr>
        <w:t>portska natjecanja i susreti, WorldSkills Croatia – disciplina stolarstvo, kuharstvo sa slastičarstvom, fr</w:t>
      </w:r>
      <w:r w:rsidR="00CA4BDA">
        <w:rPr>
          <w:rFonts w:ascii="Times New Roman" w:hAnsi="Times New Roman" w:cs="Times New Roman"/>
          <w:sz w:val="24"/>
          <w:szCs w:val="24"/>
        </w:rPr>
        <w:t>i</w:t>
      </w:r>
      <w:r w:rsidRPr="00361B33">
        <w:rPr>
          <w:rFonts w:ascii="Times New Roman" w:hAnsi="Times New Roman" w:cs="Times New Roman"/>
          <w:sz w:val="24"/>
          <w:szCs w:val="24"/>
        </w:rPr>
        <w:t xml:space="preserve">zerstvo, kućne instalacije, </w:t>
      </w:r>
      <w:r w:rsidR="00CA4BDA">
        <w:rPr>
          <w:rFonts w:ascii="Times New Roman" w:hAnsi="Times New Roman" w:cs="Times New Roman"/>
          <w:sz w:val="24"/>
          <w:szCs w:val="24"/>
        </w:rPr>
        <w:t>˝</w:t>
      </w:r>
      <w:r w:rsidRPr="00361B33">
        <w:rPr>
          <w:rFonts w:ascii="Times New Roman" w:hAnsi="Times New Roman" w:cs="Times New Roman"/>
          <w:sz w:val="24"/>
          <w:szCs w:val="24"/>
        </w:rPr>
        <w:t>Palačinka kup</w:t>
      </w:r>
      <w:r w:rsidR="00CA4BDA">
        <w:rPr>
          <w:rFonts w:ascii="Times New Roman" w:hAnsi="Times New Roman" w:cs="Times New Roman"/>
          <w:sz w:val="24"/>
          <w:szCs w:val="24"/>
        </w:rPr>
        <w:t>˝</w:t>
      </w:r>
      <w:r w:rsidRPr="00361B33">
        <w:rPr>
          <w:rFonts w:ascii="Times New Roman" w:hAnsi="Times New Roman" w:cs="Times New Roman"/>
          <w:sz w:val="24"/>
          <w:szCs w:val="24"/>
        </w:rPr>
        <w:t>.</w:t>
      </w:r>
    </w:p>
    <w:p w14:paraId="1E0D7197" w14:textId="2D972700" w:rsidR="00544AD0" w:rsidRPr="00361B33" w:rsidRDefault="002406BC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Školski projekti</w:t>
      </w:r>
      <w:r w:rsidR="00544AD0" w:rsidRPr="00361B33">
        <w:rPr>
          <w:rFonts w:ascii="Times New Roman" w:hAnsi="Times New Roman" w:cs="Times New Roman"/>
          <w:sz w:val="24"/>
          <w:szCs w:val="24"/>
        </w:rPr>
        <w:t xml:space="preserve">: Projektni dani, Popularizacija znanosti, Svemirske frizure, Čitanjem do zvijezda, Projekt ˝Školski list˝, pilit projekt: ˝Poziv hrabrosti – mladi i vatrogastvo – partnerstvo budućnosti˝, Promidžba struke/škole, </w:t>
      </w:r>
      <w:r w:rsidR="00620FB6" w:rsidRPr="00361B33">
        <w:rPr>
          <w:rFonts w:ascii="Times New Roman" w:hAnsi="Times New Roman" w:cs="Times New Roman"/>
          <w:sz w:val="24"/>
          <w:szCs w:val="24"/>
        </w:rPr>
        <w:t>Obnovljivi izvori energije, i energetska učinkovitost, Kumstvo u Africi, Budi mRAK, Erasmu</w:t>
      </w:r>
      <w:r w:rsidR="0076339C">
        <w:rPr>
          <w:rFonts w:ascii="Times New Roman" w:hAnsi="Times New Roman" w:cs="Times New Roman"/>
          <w:sz w:val="24"/>
          <w:szCs w:val="24"/>
        </w:rPr>
        <w:t>s</w:t>
      </w:r>
      <w:r w:rsidR="00620FB6" w:rsidRPr="00361B33">
        <w:rPr>
          <w:rFonts w:ascii="Times New Roman" w:hAnsi="Times New Roman" w:cs="Times New Roman"/>
          <w:sz w:val="24"/>
          <w:szCs w:val="24"/>
        </w:rPr>
        <w:t>+ - GastroTurizam.</w:t>
      </w:r>
    </w:p>
    <w:p w14:paraId="59ACB99A" w14:textId="298DD2D1" w:rsidR="00544AD0" w:rsidRPr="00361B33" w:rsidRDefault="00544AD0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J</w:t>
      </w:r>
      <w:r w:rsidR="002406BC" w:rsidRPr="00361B33">
        <w:rPr>
          <w:rFonts w:ascii="Times New Roman" w:hAnsi="Times New Roman" w:cs="Times New Roman"/>
          <w:sz w:val="24"/>
          <w:szCs w:val="24"/>
        </w:rPr>
        <w:t xml:space="preserve">avna i kulturna djelatnost škole: </w:t>
      </w:r>
      <w:r w:rsidRPr="00361B33">
        <w:rPr>
          <w:rFonts w:ascii="Times New Roman" w:hAnsi="Times New Roman" w:cs="Times New Roman"/>
          <w:sz w:val="24"/>
          <w:szCs w:val="24"/>
        </w:rPr>
        <w:t>Škola u zajednici, Obilježavanje važnih datuma i događajnica, Solidarnost i humanitarne akcije, Obilježavanje važnih datuma u knjižnici, Debate u knjižnici, Misli pozitivno</w:t>
      </w:r>
      <w:r w:rsidR="00620FB6" w:rsidRPr="00361B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39B3AB" w14:textId="4C566210" w:rsidR="002406BC" w:rsidRPr="00361B33" w:rsidRDefault="002406BC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 xml:space="preserve">Preventivni programi: Zdrav za 5, To se ne </w:t>
      </w:r>
      <w:r w:rsidR="00544AD0" w:rsidRPr="00361B33">
        <w:rPr>
          <w:rFonts w:ascii="Times New Roman" w:hAnsi="Times New Roman" w:cs="Times New Roman"/>
          <w:sz w:val="24"/>
          <w:szCs w:val="24"/>
        </w:rPr>
        <w:t>d</w:t>
      </w:r>
      <w:r w:rsidRPr="00361B33">
        <w:rPr>
          <w:rFonts w:ascii="Times New Roman" w:hAnsi="Times New Roman" w:cs="Times New Roman"/>
          <w:sz w:val="24"/>
          <w:szCs w:val="24"/>
        </w:rPr>
        <w:t xml:space="preserve">ogađa nekom drugom, </w:t>
      </w:r>
      <w:r w:rsidR="00544AD0" w:rsidRPr="00361B33">
        <w:rPr>
          <w:rFonts w:ascii="Times New Roman" w:hAnsi="Times New Roman" w:cs="Times New Roman"/>
          <w:sz w:val="24"/>
          <w:szCs w:val="24"/>
        </w:rPr>
        <w:t>Živim život bez nasilja – prevencija nasilja u obitelji, Budi svoj, KLIK – sigurnosni pojas, Složne ruke, Učimo u knjižnici.</w:t>
      </w:r>
    </w:p>
    <w:p w14:paraId="28FCCFC3" w14:textId="4F6A2352" w:rsidR="00620FB6" w:rsidRPr="00361B33" w:rsidRDefault="00620FB6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Ostali programi: Program profesionalne orijentacije informiranja, Međunarodni dan srednjoškolaca, svjetski dan hrane i Dan kruha, Božićni program i blagoslov škole, Dan sigurnijeg interneta, Dan ružičastih majica, tvoje zdravlje- tvoj izbor, Dan maturanata.</w:t>
      </w:r>
    </w:p>
    <w:p w14:paraId="6FBD04D2" w14:textId="77777777" w:rsidR="00B21FA9" w:rsidRPr="00B21FA9" w:rsidRDefault="00B21FA9" w:rsidP="002E7C71">
      <w:pPr>
        <w:jc w:val="both"/>
        <w:rPr>
          <w:rFonts w:cstheme="minorHAnsi"/>
          <w:color w:val="000000" w:themeColor="text1"/>
        </w:rPr>
      </w:pPr>
    </w:p>
    <w:p w14:paraId="3971CAAF" w14:textId="5F0D1654" w:rsidR="00AD604E" w:rsidRPr="005B64F1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PRORAČUNSKI KORISNICI IZ DJELOKRUGA RADA</w:t>
      </w:r>
      <w:r w:rsidR="00D27E17" w:rsidRPr="005B64F1">
        <w:rPr>
          <w:rFonts w:ascii="Times New Roman" w:hAnsi="Times New Roman" w:cs="Times New Roman"/>
          <w:b/>
          <w:sz w:val="24"/>
          <w:szCs w:val="24"/>
        </w:rPr>
        <w:t>:</w:t>
      </w:r>
      <w:r w:rsidR="004B3BA6">
        <w:rPr>
          <w:rFonts w:ascii="Times New Roman" w:hAnsi="Times New Roman" w:cs="Times New Roman"/>
          <w:b/>
          <w:sz w:val="24"/>
          <w:szCs w:val="24"/>
        </w:rPr>
        <w:t xml:space="preserve"> Nema</w:t>
      </w:r>
    </w:p>
    <w:p w14:paraId="2EF4433E" w14:textId="77777777" w:rsidR="00222052" w:rsidRPr="005B64F1" w:rsidRDefault="00222052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C8331D" w14:textId="62CC3765" w:rsidR="003E1901" w:rsidRPr="005B64F1" w:rsidRDefault="00922047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IZMJENE I DOPUNE FINANCIJSKOG PLANA ZA 2025. GODINU</w:t>
      </w:r>
      <w:r w:rsidR="003E1901" w:rsidRPr="005B64F1">
        <w:rPr>
          <w:rFonts w:ascii="Times New Roman" w:hAnsi="Times New Roman" w:cs="Times New Roman"/>
          <w:b/>
          <w:sz w:val="24"/>
          <w:szCs w:val="24"/>
        </w:rPr>
        <w:t>:</w:t>
      </w:r>
    </w:p>
    <w:p w14:paraId="765D9D59" w14:textId="77777777" w:rsidR="003E1901" w:rsidRPr="005B64F1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984"/>
        <w:gridCol w:w="1843"/>
      </w:tblGrid>
      <w:tr w:rsidR="00EA7820" w:rsidRPr="005B64F1" w14:paraId="7F615701" w14:textId="77777777" w:rsidTr="00F528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06A59EB" w14:textId="77777777" w:rsidR="003E1901" w:rsidRPr="005B64F1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B084625" w14:textId="77777777" w:rsidR="003E1901" w:rsidRPr="005B64F1" w:rsidRDefault="003E1901" w:rsidP="00D4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777AEA4" w14:textId="0C1F2D95" w:rsidR="003E1901" w:rsidRPr="005B64F1" w:rsidRDefault="0092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573AD92" w14:textId="75F76B42" w:rsidR="003E1901" w:rsidRPr="005B64F1" w:rsidRDefault="0092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 smanj</w:t>
            </w:r>
            <w:r w:rsidR="002B3EF1">
              <w:rPr>
                <w:rFonts w:ascii="Times New Roman" w:hAnsi="Times New Roman" w:cs="Times New Roman"/>
                <w:b/>
                <w:sz w:val="24"/>
                <w:szCs w:val="24"/>
              </w:rPr>
              <w:t>enje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1D6900E" w14:textId="56B4BB7B" w:rsidR="003E1901" w:rsidRPr="005B64F1" w:rsidRDefault="0092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2025</w:t>
            </w:r>
            <w:r w:rsidR="007D45AC"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A7820" w:rsidRPr="005B64F1" w14:paraId="2ACEF986" w14:textId="77777777" w:rsidTr="00F528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D1C" w14:textId="3A913032" w:rsidR="00525DD0" w:rsidRPr="005B64F1" w:rsidRDefault="00620FB6" w:rsidP="00525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699463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7DA" w14:textId="77777777" w:rsidR="00525DD0" w:rsidRDefault="00620FB6" w:rsidP="00FC5592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P1 Srednjoškolsko obrazovanje </w:t>
            </w:r>
          </w:p>
          <w:p w14:paraId="2924ECCE" w14:textId="036E53CA" w:rsidR="00620FB6" w:rsidRPr="005B64F1" w:rsidRDefault="00620FB6" w:rsidP="00FC5592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Redovna djelatnost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6851" w14:textId="7596E742" w:rsidR="00525DD0" w:rsidRPr="005B64F1" w:rsidRDefault="002B3EF1" w:rsidP="0051002F">
            <w:pPr>
              <w:ind w:left="-12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592.954,00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DBC2" w14:textId="115506B3" w:rsidR="00525DD0" w:rsidRDefault="00922047" w:rsidP="0051002F">
            <w:pPr>
              <w:ind w:left="-11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1.200,00</w:t>
            </w:r>
          </w:p>
          <w:p w14:paraId="19B797DC" w14:textId="038102FA" w:rsidR="0054695B" w:rsidRPr="005B64F1" w:rsidRDefault="0054695B" w:rsidP="0051002F">
            <w:pPr>
              <w:ind w:left="-11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A1BF" w14:textId="144DB548" w:rsidR="00525DD0" w:rsidRPr="005B64F1" w:rsidRDefault="002B3EF1" w:rsidP="0051002F">
            <w:pPr>
              <w:ind w:left="-67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594.154,00</w:t>
            </w:r>
          </w:p>
        </w:tc>
      </w:tr>
      <w:bookmarkEnd w:id="1"/>
      <w:tr w:rsidR="00EA7820" w:rsidRPr="005B64F1" w14:paraId="4DCB3AB5" w14:textId="77777777" w:rsidTr="00F528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5B0D" w14:textId="6F6628C5" w:rsidR="00071155" w:rsidRPr="005B64F1" w:rsidRDefault="00620FB6" w:rsidP="0007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8A2" w14:textId="77777777" w:rsidR="00FC5592" w:rsidRDefault="00620FB6" w:rsidP="00FC5592">
            <w:pPr>
              <w:ind w:left="-113" w:right="-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P16 Srednjoškolsko obrazovanje</w:t>
            </w:r>
          </w:p>
          <w:p w14:paraId="097CE59B" w14:textId="41ADE6FB" w:rsidR="00620FB6" w:rsidRPr="005B64F1" w:rsidRDefault="00620FB6" w:rsidP="00FC5592">
            <w:pPr>
              <w:ind w:left="-113" w:right="-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decentralizacija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23A8" w14:textId="2A9B078D" w:rsidR="00071155" w:rsidRPr="005B64F1" w:rsidRDefault="00922047" w:rsidP="005100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62.819,00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AE49" w14:textId="79A8E873" w:rsidR="00071155" w:rsidRPr="005B64F1" w:rsidRDefault="00922047" w:rsidP="0051002F">
            <w:pPr>
              <w:ind w:left="-124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27.999,00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0096" w14:textId="3BC64F83" w:rsidR="00071155" w:rsidRPr="005B64F1" w:rsidRDefault="00922047" w:rsidP="0051002F">
            <w:pPr>
              <w:ind w:left="-2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90.818,00</w:t>
            </w:r>
          </w:p>
        </w:tc>
      </w:tr>
      <w:tr w:rsidR="00620FB6" w:rsidRPr="005B64F1" w14:paraId="4D58764D" w14:textId="77777777" w:rsidTr="00F528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05B" w14:textId="27E77C3C" w:rsidR="00620FB6" w:rsidRDefault="00620FB6" w:rsidP="0007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687" w14:textId="77777777" w:rsidR="00620FB6" w:rsidRDefault="00620FB6" w:rsidP="00FC5592">
            <w:pPr>
              <w:ind w:left="-113" w:right="-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P17 Srednjoškolsko obrazovanje</w:t>
            </w:r>
          </w:p>
          <w:p w14:paraId="3C74821A" w14:textId="53EC490A" w:rsidR="00620FB6" w:rsidRPr="005B64F1" w:rsidRDefault="00620FB6" w:rsidP="00FC5592">
            <w:pPr>
              <w:ind w:left="-113" w:right="-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iznad standarda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00C7" w14:textId="75ED2E8D" w:rsidR="00620FB6" w:rsidRPr="005B64F1" w:rsidRDefault="002B3EF1" w:rsidP="005100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103.822,00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AA42" w14:textId="37CDE545" w:rsidR="00620FB6" w:rsidRPr="005B64F1" w:rsidRDefault="002B3EF1" w:rsidP="0051002F">
            <w:pPr>
              <w:ind w:left="-124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8943" w14:textId="331CD858" w:rsidR="00620FB6" w:rsidRPr="005B64F1" w:rsidRDefault="002B3EF1" w:rsidP="0051002F">
            <w:pPr>
              <w:ind w:left="-2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104.022,00</w:t>
            </w:r>
          </w:p>
        </w:tc>
      </w:tr>
      <w:tr w:rsidR="00EA7820" w:rsidRPr="005B64F1" w14:paraId="0A85E602" w14:textId="77777777" w:rsidTr="00F528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EC9" w14:textId="77777777" w:rsidR="002E049D" w:rsidRPr="005B64F1" w:rsidRDefault="002E049D" w:rsidP="002E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2502" w14:textId="77777777" w:rsidR="002E049D" w:rsidRPr="005B64F1" w:rsidRDefault="002E049D" w:rsidP="002E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9C36" w14:textId="02C39FD4" w:rsidR="002E049D" w:rsidRPr="005B64F1" w:rsidRDefault="002B3EF1" w:rsidP="005100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759.595,00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9F55" w14:textId="356119B9" w:rsidR="002E049D" w:rsidRPr="005B64F1" w:rsidRDefault="002B3EF1" w:rsidP="00E22A55">
            <w:pPr>
              <w:ind w:left="-1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29.399,00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3FF1" w14:textId="4B56FE11" w:rsidR="002E049D" w:rsidRPr="005B64F1" w:rsidRDefault="002B3EF1" w:rsidP="005100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788.994,00</w:t>
            </w:r>
          </w:p>
        </w:tc>
      </w:tr>
    </w:tbl>
    <w:p w14:paraId="0F8A50B7" w14:textId="77777777" w:rsidR="00222052" w:rsidRPr="005B64F1" w:rsidRDefault="00222052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0B7A2B6B" w14:textId="25D77B15" w:rsidR="00D27E17" w:rsidRPr="005B64F1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NAZIV PROGRAMA:</w:t>
      </w:r>
      <w:r w:rsidR="009658B8">
        <w:rPr>
          <w:rFonts w:ascii="Times New Roman" w:hAnsi="Times New Roman" w:cs="Times New Roman"/>
          <w:b/>
          <w:sz w:val="24"/>
          <w:szCs w:val="24"/>
        </w:rPr>
        <w:t xml:space="preserve"> Redovna djelatnost</w:t>
      </w:r>
    </w:p>
    <w:p w14:paraId="6CEDE859" w14:textId="77777777" w:rsidR="00222052" w:rsidRPr="005B64F1" w:rsidRDefault="00222052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046D5C5E" w14:textId="56998BDA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71998C79" w14:textId="41768774" w:rsidR="00EC102D" w:rsidRPr="009658B8" w:rsidRDefault="009658B8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redovne djelatnosti srednjoškolskog obrazovanja odnosi se na vlastita sredstva korisnika srednjih škola, kao što su plaće i ostala materijalna prava zaposlenika za koje su sredstva osigurana u državnom proračunu, a isplaćuju se preko COP-a, zatim sredstva namijenjena financiranju knjižnične građe, financiranju higijenskih potrepština za djevojke i besplatnih udžbenika za kosnike ZMN. Pod programom se nalaze i donacije koje se dobivaju od trgovačkih društava najčešće u obliku nefinancijske imovine ili materijala za nastavu. Škola u svom vlasništvu ima i školsko sportsku dvoranu koju osim u odgojno-obrazovne svrhe koristi i u komercijalne svrhe</w:t>
      </w:r>
      <w:r w:rsidR="00EC102D">
        <w:rPr>
          <w:rFonts w:ascii="Times New Roman" w:hAnsi="Times New Roman" w:cs="Times New Roman"/>
          <w:bCs/>
          <w:sz w:val="24"/>
          <w:szCs w:val="24"/>
        </w:rPr>
        <w:t>. Iznajmljivanjem</w:t>
      </w:r>
      <w:r>
        <w:rPr>
          <w:rFonts w:ascii="Times New Roman" w:hAnsi="Times New Roman" w:cs="Times New Roman"/>
          <w:bCs/>
          <w:sz w:val="24"/>
          <w:szCs w:val="24"/>
        </w:rPr>
        <w:t xml:space="preserve"> ostvaraje prihod koji koristi </w:t>
      </w:r>
      <w:r w:rsidR="00EC102D">
        <w:rPr>
          <w:rFonts w:ascii="Times New Roman" w:hAnsi="Times New Roman" w:cs="Times New Roman"/>
          <w:bCs/>
          <w:sz w:val="24"/>
          <w:szCs w:val="24"/>
        </w:rPr>
        <w:t xml:space="preserve">i ulaže u poboljšanje radnih i materijalnih uvjeta škole. U sklopu škole se nalazi Učenički dom koji ostvaruje namjenske prihode od uplate roditelja i skrbnika za smještaj i prehranu. Sredstva se koriste u svrhu poboljšanja životnih uvjeta korisnika, sredstva za čišćenje i održavanje, nabavu namirnica i pokriće ostalih tekućih režijskih troškova. </w:t>
      </w:r>
    </w:p>
    <w:p w14:paraId="1CC0DF97" w14:textId="22921CCB" w:rsidR="00222052" w:rsidRDefault="0051499A" w:rsidP="00AD604E">
      <w:pPr>
        <w:rPr>
          <w:rFonts w:ascii="Times New Roman" w:hAnsi="Times New Roman" w:cs="Times New Roman"/>
          <w:sz w:val="24"/>
          <w:szCs w:val="24"/>
        </w:rPr>
      </w:pPr>
      <w:r w:rsidRPr="0051499A">
        <w:rPr>
          <w:rFonts w:ascii="Times New Roman" w:hAnsi="Times New Roman" w:cs="Times New Roman"/>
          <w:sz w:val="24"/>
          <w:szCs w:val="24"/>
        </w:rPr>
        <w:t xml:space="preserve">U sklopu ovog programa planirana je sljedeća aktivnost: </w:t>
      </w:r>
    </w:p>
    <w:p w14:paraId="5A675B8E" w14:textId="36514C8E" w:rsidR="0051499A" w:rsidRPr="0051499A" w:rsidRDefault="0051499A" w:rsidP="00AD60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A000283 – Redovna djelatnost SŠ-VS korisnika</w:t>
      </w:r>
    </w:p>
    <w:p w14:paraId="67F2A1D9" w14:textId="2A3A6793" w:rsidR="0051499A" w:rsidRDefault="0051499A" w:rsidP="00AD6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ovoj aktivnosti planirana su vlastit</w:t>
      </w:r>
      <w:r w:rsidR="00CD21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sredstva za plaće i naknada za zaposlenike, rashodi za posebne namjene za smještaj učenika u Učeničkom domu, rashodi za nabavu opreme i popravak opreme te održavanje objekata doma i dvorane. </w:t>
      </w:r>
    </w:p>
    <w:p w14:paraId="688217DD" w14:textId="77777777" w:rsidR="00877DBA" w:rsidRPr="00877DBA" w:rsidRDefault="00877DBA" w:rsidP="00877DBA">
      <w:pPr>
        <w:rPr>
          <w:rFonts w:ascii="Times New Roman" w:hAnsi="Times New Roman" w:cs="Times New Roman"/>
          <w:sz w:val="24"/>
          <w:szCs w:val="24"/>
        </w:rPr>
      </w:pPr>
      <w:r w:rsidRPr="00877DBA">
        <w:rPr>
          <w:rFonts w:ascii="Times New Roman" w:hAnsi="Times New Roman" w:cs="Times New Roman"/>
          <w:sz w:val="24"/>
          <w:szCs w:val="24"/>
        </w:rPr>
        <w:t>Prihodi i rashodi od pružanja usluga najma dvorane nisu se promijenili i planirani iznos ostaje 5.732 eura.</w:t>
      </w:r>
    </w:p>
    <w:p w14:paraId="61DA560B" w14:textId="77777777" w:rsidR="00877DBA" w:rsidRPr="00877DBA" w:rsidRDefault="00877DBA" w:rsidP="00877DBA">
      <w:pPr>
        <w:rPr>
          <w:rFonts w:ascii="Times New Roman" w:hAnsi="Times New Roman" w:cs="Times New Roman"/>
          <w:sz w:val="24"/>
          <w:szCs w:val="24"/>
        </w:rPr>
      </w:pPr>
      <w:r w:rsidRPr="00877DBA">
        <w:rPr>
          <w:rFonts w:ascii="Times New Roman" w:hAnsi="Times New Roman" w:cs="Times New Roman"/>
          <w:sz w:val="24"/>
          <w:szCs w:val="24"/>
        </w:rPr>
        <w:t xml:space="preserve">Prihodi  i rashodi za sufinanciranje smještaja u domu također su ostali 32.860 eura, ukinuti su rashodi od 120 eura za isplatu plaća po sudskim presudama i povećani su rashodi za materijal u tom iznosu. </w:t>
      </w:r>
    </w:p>
    <w:p w14:paraId="29F378DE" w14:textId="7312AFFD" w:rsidR="00740F87" w:rsidRPr="00877DBA" w:rsidRDefault="00877DBA" w:rsidP="00F528EE">
      <w:pPr>
        <w:rPr>
          <w:rFonts w:ascii="Times New Roman" w:hAnsi="Times New Roman" w:cs="Times New Roman"/>
          <w:sz w:val="24"/>
          <w:szCs w:val="24"/>
        </w:rPr>
      </w:pPr>
      <w:r w:rsidRPr="00877DBA">
        <w:rPr>
          <w:rFonts w:ascii="Times New Roman" w:hAnsi="Times New Roman" w:cs="Times New Roman"/>
          <w:sz w:val="24"/>
          <w:szCs w:val="24"/>
        </w:rPr>
        <w:lastRenderedPageBreak/>
        <w:t>Prihodi/rashodi iz MZOM-a povećani su za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7DBA">
        <w:rPr>
          <w:rFonts w:ascii="Times New Roman" w:hAnsi="Times New Roman" w:cs="Times New Roman"/>
          <w:sz w:val="24"/>
          <w:szCs w:val="24"/>
        </w:rPr>
        <w:t>400 eura zbog povećanog broja prekovremenih sati obveze za plaće povećane su za 8.500 eura sa 440.000 na 448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7DBA">
        <w:rPr>
          <w:rFonts w:ascii="Times New Roman" w:hAnsi="Times New Roman" w:cs="Times New Roman"/>
          <w:sz w:val="24"/>
          <w:szCs w:val="24"/>
        </w:rPr>
        <w:t>500 eura, dok su obveze za materijalna prava smanjene za 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7DBA">
        <w:rPr>
          <w:rFonts w:ascii="Times New Roman" w:hAnsi="Times New Roman" w:cs="Times New Roman"/>
          <w:sz w:val="24"/>
          <w:szCs w:val="24"/>
        </w:rPr>
        <w:t xml:space="preserve">200 eura. Doprinosi na povećani su u iznosu 1.100 eura. Ostale pozicije su ostale nepromijenjene.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AD2101" w:rsidRPr="005B64F1" w14:paraId="4625D6E1" w14:textId="77777777" w:rsidTr="00F528EE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7C70B788" w14:textId="4D5D964D" w:rsidR="00AD2101" w:rsidRPr="005B64F1" w:rsidRDefault="00222052" w:rsidP="00F528E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87532191"/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B3E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0B3DE946" w14:textId="2DE49379" w:rsidR="00AD2101" w:rsidRPr="005B64F1" w:rsidRDefault="002B3EF1" w:rsidP="000B6F5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612AE87C" w14:textId="35607425" w:rsidR="00AD2101" w:rsidRPr="005B64F1" w:rsidRDefault="002B3EF1" w:rsidP="000B6F5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Novi plan 2025. </w:t>
            </w:r>
          </w:p>
        </w:tc>
      </w:tr>
      <w:tr w:rsidR="00AD2101" w:rsidRPr="005B64F1" w14:paraId="35DB2D96" w14:textId="77777777" w:rsidTr="00F528EE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34B15CEA" w14:textId="37C1576D" w:rsidR="00AD2101" w:rsidRPr="005B64F1" w:rsidRDefault="002B3EF1" w:rsidP="000B6F5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592.954,00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465B6C" w14:textId="7A31406A" w:rsidR="00AD2101" w:rsidRPr="002B3EF1" w:rsidRDefault="002B3EF1" w:rsidP="000B6F5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2DEC9E" w14:textId="729ECD7A" w:rsidR="00AD2101" w:rsidRPr="005B64F1" w:rsidRDefault="002B3EF1" w:rsidP="000B6F5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594.154,00</w:t>
            </w:r>
          </w:p>
        </w:tc>
      </w:tr>
      <w:bookmarkEnd w:id="2"/>
    </w:tbl>
    <w:p w14:paraId="34709235" w14:textId="77777777" w:rsidR="00AD2101" w:rsidRPr="005B64F1" w:rsidRDefault="00AD2101" w:rsidP="006B7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D6CF4" w14:textId="65611BFD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5BAECF66" w14:textId="164795F7" w:rsidR="00F528EE" w:rsidRPr="00EF1234" w:rsidRDefault="0051499A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Isplata plaća </w:t>
      </w:r>
      <w:r w:rsidR="00EF1234">
        <w:rPr>
          <w:rFonts w:ascii="Times New Roman" w:hAnsi="Times New Roman" w:cs="Times New Roman"/>
          <w:bCs/>
          <w:sz w:val="24"/>
          <w:szCs w:val="24"/>
        </w:rPr>
        <w:t xml:space="preserve">djelatnicima kao i podmirenje svih tekućih obveza koje proizlaze iz smještaja učeniku u Učeničkom domu i svih obveza vezanih za objekt sportske dvorane te nabava opreme za njihovo kvalitetno funkcioniranje. </w:t>
      </w:r>
    </w:p>
    <w:p w14:paraId="6E58058F" w14:textId="192ADFAD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2CCE2095" w14:textId="702A4C17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>Zakon o odgoju i obrazovanju (NN 87/08, 86/09, 92/10, 105/10, 90/11, 5/12, 16/12, 86/12, 126/12, 94/13, 152/14, 07/17, 68/18, 98/19, 64/20, 151/22, 155/23, 156/23)</w:t>
      </w:r>
    </w:p>
    <w:p w14:paraId="7AC4CE0A" w14:textId="7AAF8B7D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>Zakon o radu (NN93/14, 127/17, 98/19, 151/22, 46/23, 64/239</w:t>
      </w:r>
    </w:p>
    <w:p w14:paraId="3B872C60" w14:textId="5D2F6223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>Kolektivni ugovor za zaposlenike u javnim ustanovama (NN 29/24)</w:t>
      </w:r>
    </w:p>
    <w:p w14:paraId="7DD4BBC4" w14:textId="0F4BA615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>Granski ugovor za zaposlenike u srednjoškolski ustanovama</w:t>
      </w:r>
    </w:p>
    <w:p w14:paraId="22D77A14" w14:textId="0B0B1ABF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>Uredba o rasponu koeficijenata u platnim razredima u jedinstvenoj ljestvici u državnoj službi i javnim službama (NN 22/24)</w:t>
      </w:r>
    </w:p>
    <w:p w14:paraId="149B1ACD" w14:textId="77777777" w:rsidR="00EF1234" w:rsidRPr="00361B33" w:rsidRDefault="00EF1234" w:rsidP="00EF123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 xml:space="preserve">Upute za izradu proračuna Bjelovarsko-bilogorske županije za razdoblje 2024. - 2026. </w:t>
      </w:r>
    </w:p>
    <w:p w14:paraId="1D5FEF7C" w14:textId="77777777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 xml:space="preserve">Statut </w:t>
      </w:r>
      <w:r w:rsidRPr="00361B33">
        <w:rPr>
          <w:rFonts w:ascii="Times New Roman" w:hAnsi="Times New Roman" w:cs="Times New Roman"/>
          <w:color w:val="000000" w:themeColor="text1"/>
        </w:rPr>
        <w:t>Srednje škole ˝ August Šenoa˝ Garešnica</w:t>
      </w:r>
    </w:p>
    <w:p w14:paraId="047326B1" w14:textId="77777777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 xml:space="preserve">Godišnji plan i program rada </w:t>
      </w:r>
      <w:r w:rsidRPr="00361B33">
        <w:rPr>
          <w:rFonts w:ascii="Times New Roman" w:hAnsi="Times New Roman" w:cs="Times New Roman"/>
          <w:color w:val="000000" w:themeColor="text1"/>
        </w:rPr>
        <w:t>Srednje škole ˝ August Šenoa˝ Garešnica</w:t>
      </w:r>
    </w:p>
    <w:p w14:paraId="50A00215" w14:textId="77777777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 xml:space="preserve">Kurikulum </w:t>
      </w:r>
      <w:r w:rsidRPr="00361B33">
        <w:rPr>
          <w:rFonts w:ascii="Times New Roman" w:hAnsi="Times New Roman" w:cs="Times New Roman"/>
          <w:color w:val="000000" w:themeColor="text1"/>
        </w:rPr>
        <w:t>Srednje škole ˝ August Šenoa˝ Garešnica</w:t>
      </w:r>
    </w:p>
    <w:p w14:paraId="04F50791" w14:textId="77777777" w:rsidR="00EF1234" w:rsidRPr="005B64F1" w:rsidRDefault="00EF1234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0B431C7F" w14:textId="77777777" w:rsidR="00222052" w:rsidRPr="005B64F1" w:rsidRDefault="00222052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0B6AA5A1" w14:textId="22149920" w:rsidR="00707BE5" w:rsidRPr="005B64F1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tbl>
      <w:tblPr>
        <w:tblStyle w:val="StilTablice"/>
        <w:tblW w:w="10343" w:type="dxa"/>
        <w:jc w:val="center"/>
        <w:tblLook w:val="04A0" w:firstRow="1" w:lastRow="0" w:firstColumn="1" w:lastColumn="0" w:noHBand="0" w:noVBand="1"/>
      </w:tblPr>
      <w:tblGrid>
        <w:gridCol w:w="1420"/>
        <w:gridCol w:w="1462"/>
        <w:gridCol w:w="983"/>
        <w:gridCol w:w="1343"/>
        <w:gridCol w:w="1305"/>
        <w:gridCol w:w="1283"/>
        <w:gridCol w:w="1283"/>
        <w:gridCol w:w="1264"/>
      </w:tblGrid>
      <w:tr w:rsidR="00707BE5" w:rsidRPr="005B64F1" w14:paraId="5F5C308B" w14:textId="77777777" w:rsidTr="00027107">
        <w:trPr>
          <w:trHeight w:val="354"/>
          <w:jc w:val="center"/>
        </w:trPr>
        <w:tc>
          <w:tcPr>
            <w:tcW w:w="1420" w:type="dxa"/>
            <w:shd w:val="clear" w:color="auto" w:fill="B5C0D8"/>
          </w:tcPr>
          <w:p w14:paraId="1560D381" w14:textId="77777777" w:rsidR="00707BE5" w:rsidRPr="005B64F1" w:rsidRDefault="00707BE5" w:rsidP="00FA41F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bookmarkStart w:id="3" w:name="_Hlk87002729"/>
            <w:r w:rsidRPr="005B64F1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462" w:type="dxa"/>
            <w:shd w:val="clear" w:color="auto" w:fill="B5C0D8"/>
          </w:tcPr>
          <w:p w14:paraId="3E9EB050" w14:textId="77777777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83" w:type="dxa"/>
            <w:shd w:val="clear" w:color="auto" w:fill="B5C0D8"/>
          </w:tcPr>
          <w:p w14:paraId="68DECC98" w14:textId="77777777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343" w:type="dxa"/>
            <w:shd w:val="clear" w:color="auto" w:fill="B5C0D8"/>
          </w:tcPr>
          <w:p w14:paraId="465BD3C3" w14:textId="77777777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305" w:type="dxa"/>
            <w:shd w:val="clear" w:color="auto" w:fill="B5C0D8"/>
          </w:tcPr>
          <w:p w14:paraId="4BD7B2EF" w14:textId="77777777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283" w:type="dxa"/>
            <w:shd w:val="clear" w:color="auto" w:fill="B5C0D8"/>
          </w:tcPr>
          <w:p w14:paraId="2CF86586" w14:textId="45D2432A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877DBA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5</w:t>
            </w: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283" w:type="dxa"/>
            <w:shd w:val="clear" w:color="auto" w:fill="B5C0D8"/>
          </w:tcPr>
          <w:p w14:paraId="505B9255" w14:textId="3EEE8CF1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877DBA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264" w:type="dxa"/>
            <w:shd w:val="clear" w:color="auto" w:fill="B5C0D8"/>
          </w:tcPr>
          <w:p w14:paraId="640999BF" w14:textId="3D50FCD1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877DBA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707BE5" w:rsidRPr="005B64F1" w14:paraId="4813F7A0" w14:textId="77777777" w:rsidTr="00027107">
        <w:trPr>
          <w:trHeight w:val="451"/>
          <w:jc w:val="center"/>
        </w:trPr>
        <w:tc>
          <w:tcPr>
            <w:tcW w:w="1420" w:type="dxa"/>
          </w:tcPr>
          <w:p w14:paraId="6EBF1D82" w14:textId="15417556" w:rsidR="00707BE5" w:rsidRPr="00361B33" w:rsidRDefault="00EF1234" w:rsidP="009C3356">
            <w:pPr>
              <w:rPr>
                <w:rFonts w:cs="Times New Roman"/>
                <w:szCs w:val="20"/>
              </w:rPr>
            </w:pPr>
            <w:bookmarkStart w:id="4" w:name="_Hlk86992014"/>
            <w:r w:rsidRPr="00361B33">
              <w:rPr>
                <w:rFonts w:cs="Times New Roman"/>
                <w:szCs w:val="20"/>
              </w:rPr>
              <w:t>Broj korisnika škole</w:t>
            </w:r>
          </w:p>
        </w:tc>
        <w:tc>
          <w:tcPr>
            <w:tcW w:w="1462" w:type="dxa"/>
          </w:tcPr>
          <w:p w14:paraId="34DBFC56" w14:textId="2B707024" w:rsidR="00707BE5" w:rsidRPr="00361B33" w:rsidRDefault="00EF1234" w:rsidP="00E75B08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szCs w:val="20"/>
              </w:rPr>
              <w:t>Zaposlenici i učenici škole</w:t>
            </w:r>
            <w:r w:rsidR="002E16E6" w:rsidRPr="00361B33">
              <w:rPr>
                <w:rFonts w:cs="Times New Roman"/>
                <w:szCs w:val="20"/>
              </w:rPr>
              <w:t xml:space="preserve"> </w:t>
            </w:r>
            <w:r w:rsidRPr="00361B33">
              <w:rPr>
                <w:rFonts w:cs="Times New Roman"/>
                <w:szCs w:val="20"/>
              </w:rPr>
              <w:t>+</w:t>
            </w:r>
            <w:r w:rsidR="002E16E6" w:rsidRPr="00361B33">
              <w:rPr>
                <w:rFonts w:cs="Times New Roman"/>
                <w:szCs w:val="20"/>
              </w:rPr>
              <w:t xml:space="preserve"> </w:t>
            </w:r>
            <w:r w:rsidRPr="00361B33">
              <w:rPr>
                <w:rFonts w:cs="Times New Roman"/>
                <w:szCs w:val="20"/>
              </w:rPr>
              <w:t>učenic</w:t>
            </w:r>
            <w:r w:rsidR="002E16E6" w:rsidRPr="00361B33">
              <w:rPr>
                <w:rFonts w:cs="Times New Roman"/>
                <w:szCs w:val="20"/>
              </w:rPr>
              <w:t>i</w:t>
            </w:r>
            <w:r w:rsidRPr="00361B33">
              <w:rPr>
                <w:rFonts w:cs="Times New Roman"/>
                <w:szCs w:val="20"/>
              </w:rPr>
              <w:t xml:space="preserve"> smješ</w:t>
            </w:r>
            <w:r w:rsidR="002E16E6" w:rsidRPr="00361B33">
              <w:rPr>
                <w:rFonts w:cs="Times New Roman"/>
                <w:szCs w:val="20"/>
              </w:rPr>
              <w:t>t</w:t>
            </w:r>
            <w:r w:rsidRPr="00361B33">
              <w:rPr>
                <w:rFonts w:cs="Times New Roman"/>
                <w:szCs w:val="20"/>
              </w:rPr>
              <w:t>eni u domu</w:t>
            </w:r>
            <w:r w:rsidR="002E16E6" w:rsidRPr="00361B33">
              <w:rPr>
                <w:rFonts w:cs="Times New Roman"/>
                <w:szCs w:val="20"/>
              </w:rPr>
              <w:t xml:space="preserve"> SŠ AŠ GAREŠNICA</w:t>
            </w:r>
          </w:p>
        </w:tc>
        <w:tc>
          <w:tcPr>
            <w:tcW w:w="983" w:type="dxa"/>
          </w:tcPr>
          <w:p w14:paraId="766C4FAC" w14:textId="497315C8" w:rsidR="00707BE5" w:rsidRPr="00361B33" w:rsidRDefault="002E16E6" w:rsidP="00B23B6A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szCs w:val="20"/>
              </w:rPr>
              <w:t>EUR</w:t>
            </w:r>
          </w:p>
        </w:tc>
        <w:tc>
          <w:tcPr>
            <w:tcW w:w="1343" w:type="dxa"/>
          </w:tcPr>
          <w:p w14:paraId="343970EC" w14:textId="576CC47A" w:rsidR="00707BE5" w:rsidRPr="00877DBA" w:rsidRDefault="00877DBA" w:rsidP="008E03E9">
            <w:pPr>
              <w:rPr>
                <w:rFonts w:cs="Times New Roman"/>
                <w:bCs/>
                <w:szCs w:val="20"/>
              </w:rPr>
            </w:pPr>
            <w:r w:rsidRPr="00877DBA">
              <w:rPr>
                <w:rFonts w:cs="Times New Roman"/>
                <w:bCs/>
                <w:szCs w:val="20"/>
              </w:rPr>
              <w:t>592.954,00</w:t>
            </w:r>
          </w:p>
        </w:tc>
        <w:tc>
          <w:tcPr>
            <w:tcW w:w="1305" w:type="dxa"/>
          </w:tcPr>
          <w:p w14:paraId="1AADD5E5" w14:textId="6A2861DC" w:rsidR="00707BE5" w:rsidRPr="00361B33" w:rsidRDefault="002E16E6" w:rsidP="008E03E9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szCs w:val="20"/>
              </w:rPr>
              <w:t>Registar djelatnika i učenika škole i Učeničkog doma</w:t>
            </w:r>
          </w:p>
        </w:tc>
        <w:tc>
          <w:tcPr>
            <w:tcW w:w="1283" w:type="dxa"/>
          </w:tcPr>
          <w:p w14:paraId="19F36299" w14:textId="767C7156" w:rsidR="00707BE5" w:rsidRPr="00877DBA" w:rsidRDefault="00877DBA" w:rsidP="00687EEF">
            <w:pPr>
              <w:rPr>
                <w:rFonts w:cs="Times New Roman"/>
                <w:bCs/>
                <w:szCs w:val="20"/>
              </w:rPr>
            </w:pPr>
            <w:r w:rsidRPr="00877DBA">
              <w:rPr>
                <w:rFonts w:cs="Times New Roman"/>
                <w:bCs/>
                <w:szCs w:val="20"/>
              </w:rPr>
              <w:t>594.154,00</w:t>
            </w:r>
          </w:p>
        </w:tc>
        <w:tc>
          <w:tcPr>
            <w:tcW w:w="1283" w:type="dxa"/>
          </w:tcPr>
          <w:p w14:paraId="291A4819" w14:textId="373BAB4F" w:rsidR="00707BE5" w:rsidRPr="00361B33" w:rsidRDefault="002E16E6" w:rsidP="00687EEF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bCs/>
                <w:szCs w:val="20"/>
              </w:rPr>
              <w:t>2.226.800,00</w:t>
            </w:r>
          </w:p>
        </w:tc>
        <w:tc>
          <w:tcPr>
            <w:tcW w:w="1264" w:type="dxa"/>
          </w:tcPr>
          <w:p w14:paraId="704CA99E" w14:textId="0727CAE5" w:rsidR="00707BE5" w:rsidRPr="00361B33" w:rsidRDefault="002E16E6" w:rsidP="00687EEF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bCs/>
                <w:szCs w:val="20"/>
              </w:rPr>
              <w:t>2.226.800,00</w:t>
            </w:r>
          </w:p>
        </w:tc>
      </w:tr>
    </w:tbl>
    <w:p w14:paraId="410F9E40" w14:textId="77777777" w:rsidR="00842430" w:rsidRPr="005B64F1" w:rsidRDefault="00842430" w:rsidP="0082227F">
      <w:pPr>
        <w:rPr>
          <w:rFonts w:ascii="Times New Roman" w:hAnsi="Times New Roman" w:cs="Times New Roman"/>
          <w:b/>
          <w:sz w:val="24"/>
          <w:szCs w:val="24"/>
        </w:rPr>
      </w:pPr>
      <w:bookmarkStart w:id="5" w:name="_Hlk87003091"/>
      <w:bookmarkEnd w:id="3"/>
      <w:bookmarkEnd w:id="4"/>
    </w:p>
    <w:p w14:paraId="0F36D106" w14:textId="54F2A95D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57E71F1D" w14:textId="77777777" w:rsidR="00DD4714" w:rsidRDefault="002E16E6" w:rsidP="00C7692E">
      <w:pPr>
        <w:rPr>
          <w:rFonts w:ascii="Times New Roman" w:hAnsi="Times New Roman" w:cs="Times New Roman"/>
          <w:bCs/>
          <w:sz w:val="24"/>
          <w:szCs w:val="24"/>
        </w:rPr>
      </w:pPr>
      <w:r w:rsidRPr="002E16E6">
        <w:rPr>
          <w:rFonts w:ascii="Times New Roman" w:hAnsi="Times New Roman" w:cs="Times New Roman"/>
          <w:bCs/>
          <w:sz w:val="24"/>
          <w:szCs w:val="24"/>
        </w:rPr>
        <w:t xml:space="preserve">Postignuti su ciljevi u 2025.g.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E16E6">
        <w:rPr>
          <w:rFonts w:ascii="Times New Roman" w:hAnsi="Times New Roman" w:cs="Times New Roman"/>
          <w:bCs/>
          <w:sz w:val="24"/>
          <w:szCs w:val="24"/>
        </w:rPr>
        <w:t>splaćene su plaće za zaposlenike i sve ostale naknade koje im prema</w:t>
      </w:r>
      <w:r>
        <w:rPr>
          <w:rFonts w:ascii="Times New Roman" w:hAnsi="Times New Roman" w:cs="Times New Roman"/>
          <w:bCs/>
          <w:sz w:val="24"/>
          <w:szCs w:val="24"/>
        </w:rPr>
        <w:t xml:space="preserve"> zakonu, kolektivnom i granskom ugovoru pripadaju. Podmirene su sve tekuće obveze vezene uz rad Učeničkog doma i školske dvorane. Primljene su i donacije u obliku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nefinancijske imovine za kvalitetniji rad ustanove. Nabavljena je knjižnična građa kao i udžbenici za učenike koji su korisnici ZMN. </w:t>
      </w:r>
      <w:r w:rsidR="00C460E2">
        <w:rPr>
          <w:rFonts w:ascii="Times New Roman" w:hAnsi="Times New Roman" w:cs="Times New Roman"/>
          <w:bCs/>
          <w:sz w:val="24"/>
          <w:szCs w:val="24"/>
        </w:rPr>
        <w:t>Nabavljena je oprema za potrebe čišćenja i održavanja i izvršene su usluge soboslikarskih radova na Učeničkom domu.</w:t>
      </w:r>
      <w:bookmarkEnd w:id="5"/>
    </w:p>
    <w:p w14:paraId="5074EFB1" w14:textId="77777777" w:rsidR="00877DBA" w:rsidRPr="00877DBA" w:rsidRDefault="00C7692E" w:rsidP="00877DB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  <w:r w:rsidR="00DD4714">
        <w:rPr>
          <w:rFonts w:ascii="Times New Roman" w:hAnsi="Times New Roman" w:cs="Times New Roman"/>
          <w:bCs/>
          <w:sz w:val="24"/>
          <w:szCs w:val="24"/>
        </w:rPr>
        <w:br/>
      </w:r>
      <w:r w:rsidR="00877DBA"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Odlukom o ustrojstvu i djelokrugu upravnih tijela Bjelovarsko-bilogorske županije koja je donesena na 2. sjednici Županijske skupštine Bjelovarsko-bilogorske županije 4. srpnja 2025. godine mijenja se ustrojstvo, djelokrug i način rada upravnih tijela </w:t>
      </w:r>
      <w:bookmarkStart w:id="6" w:name="m_-5415315227325675375__Hlk202789034"/>
      <w:r w:rsidR="00877DBA"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Bjelovarsko-bilogorske županije</w:t>
      </w:r>
      <w:bookmarkEnd w:id="6"/>
      <w:r w:rsidR="00877DBA"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Iz navedene Odluke koja je stupila na snagu 15. srpnja 2025. godine, a sukladno ustrojstvu i djelokrugu propisanim Odlukom, proizlaze promjene kod upravnih tijela Bjelovarsko-bilogorske županije, odnosno proračunskih korisnika Bjelovarsko-bilogorske županije. Promjene utvrđene Odlukom odnose se na promjenu naziva upravnih tijela Bjelovarsko-bilogorske županije, ustroj novih tijela Bjelovarsko-bilogorske županije, prestanak rada dosadašnjih upravnih tijela Bjelovarsko-bilogorske županije te preuzimanje poslova iz djelokruga upravnih tijela Bjelovarsko-bilogorske županije koja prestaju s radom. Srednja škola bila je proračunski korisnik Upravnog odjela za društvene djelatnosti, a sada je to Upravni odjel za obrazovanje, kulturu i udruge.</w:t>
      </w:r>
    </w:p>
    <w:p w14:paraId="311C3E88" w14:textId="68A494C6" w:rsidR="00877DBA" w:rsidRPr="00877DBA" w:rsidRDefault="00877DBA" w:rsidP="00877DB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877D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Navedene promjene utječu na </w:t>
      </w: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izvršavanje proračuna </w:t>
      </w:r>
      <w:r w:rsidRPr="00877D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Bjelovarsko-bilogorske županije</w:t>
      </w: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 i financijskih planova upravnih tijela kod kojih se mijenja ustrojstvo i djelokrug rada te je iz tog razloga bilo potrebno pristupiti II. izmjenama i dopunama proračuna za 2025. godinu kako bi se proračun uskladio s novim ustrojstvom. </w:t>
      </w:r>
    </w:p>
    <w:p w14:paraId="2397AA18" w14:textId="0CEC6F50" w:rsidR="00877DBA" w:rsidRDefault="00877DBA" w:rsidP="00877D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II. izmjene i dopune proračuna potrebno je bilo odraditi na način da se plan razdvoji na 2 organizacijske jedinice (stara i nova). </w:t>
      </w:r>
      <w:r w:rsidRPr="00877DB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hr-HR"/>
        </w:rPr>
        <w:t>Na staroj organizacijskoj jedinici planirali smo sve što</w:t>
      </w:r>
      <w:r w:rsidRPr="00877D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hr-HR"/>
        </w:rPr>
        <w:t xml:space="preserve"> </w:t>
      </w:r>
      <w:r w:rsidRPr="00877DB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hr-HR"/>
        </w:rPr>
        <w:t>se izvršava do 30. rujna (sve što se knjiži zaključno s tim datumom), a na novoj organizacijskoj jedinici sve što će se izvršavati od 1. listopada</w:t>
      </w: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 Potrebno je bilo napraviti procjenu rashoda koji će se izvršavati prema navedenom, odnosno prvim dijelom rebalansa procijeniti prihode i rashode potrebne do kraja rujna.</w:t>
      </w:r>
    </w:p>
    <w:p w14:paraId="334FDC83" w14:textId="08C3D616" w:rsidR="00115194" w:rsidRDefault="00115194" w:rsidP="0011519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</w:t>
      </w: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izmjene i dopune proračuna potrebno je bilo odraditi na način da se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prikažu promjene samo na novoj organizacijskoj jedinici za razdoblje od 1. listopada do 31.prosinca. Zbog povećanja cijene energenata i velikog broja servisa na sustavu grijanja školi su odobrena dodatna sredstva, ali bilo je potrebno napraviti korekcije na prihodima/rashodima za plaće zbog većeg broja prekovremenih sati od prvotno planiranih.  </w:t>
      </w:r>
    </w:p>
    <w:p w14:paraId="149DED2F" w14:textId="77777777" w:rsidR="00222052" w:rsidRPr="005B64F1" w:rsidRDefault="00222052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1A200497" w14:textId="09476FF0" w:rsidR="0077095F" w:rsidRPr="005B64F1" w:rsidRDefault="0077095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485" w:type="dxa"/>
        <w:jc w:val="center"/>
        <w:tblLook w:val="04A0" w:firstRow="1" w:lastRow="0" w:firstColumn="1" w:lastColumn="0" w:noHBand="0" w:noVBand="1"/>
      </w:tblPr>
      <w:tblGrid>
        <w:gridCol w:w="2326"/>
        <w:gridCol w:w="2063"/>
        <w:gridCol w:w="1056"/>
        <w:gridCol w:w="1292"/>
        <w:gridCol w:w="1292"/>
        <w:gridCol w:w="1292"/>
        <w:gridCol w:w="1164"/>
      </w:tblGrid>
      <w:tr w:rsidR="00E562DF" w:rsidRPr="005B64F1" w14:paraId="7F364A28" w14:textId="77777777" w:rsidTr="00DC34A0">
        <w:trPr>
          <w:trHeight w:val="8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B5C0D8"/>
          </w:tcPr>
          <w:p w14:paraId="595CCDE0" w14:textId="77777777" w:rsidR="005E4BC1" w:rsidRPr="005B64F1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bookmarkStart w:id="7" w:name="_Hlk87003151"/>
            <w:r w:rsidRPr="005B64F1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B5C0D8"/>
          </w:tcPr>
          <w:p w14:paraId="5852ECFB" w14:textId="77777777" w:rsidR="005E4BC1" w:rsidRPr="005B64F1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B5C0D8"/>
          </w:tcPr>
          <w:p w14:paraId="005A3487" w14:textId="77777777" w:rsidR="005E4BC1" w:rsidRPr="005B64F1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</w:tcPr>
          <w:p w14:paraId="1F9DBC44" w14:textId="77777777" w:rsidR="005E4BC1" w:rsidRPr="005B64F1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014C5067" w14:textId="5CE1C6EC" w:rsidR="005E4BC1" w:rsidRPr="005B64F1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</w:t>
            </w:r>
            <w:r w:rsidR="00290114" w:rsidRPr="005B64F1">
              <w:rPr>
                <w:rFonts w:cs="Times New Roman"/>
                <w:b/>
                <w:sz w:val="24"/>
                <w:szCs w:val="24"/>
              </w:rPr>
              <w:t>2</w:t>
            </w:r>
            <w:r w:rsidR="00115194">
              <w:rPr>
                <w:rFonts w:cs="Times New Roman"/>
                <w:b/>
                <w:sz w:val="24"/>
                <w:szCs w:val="24"/>
              </w:rPr>
              <w:t>5</w:t>
            </w:r>
            <w:r w:rsidRPr="005B64F1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67B53D28" w14:textId="7C45D2EC" w:rsidR="005E4BC1" w:rsidRPr="005B64F1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115194">
              <w:rPr>
                <w:rFonts w:cs="Times New Roman"/>
                <w:b/>
                <w:sz w:val="24"/>
                <w:szCs w:val="24"/>
              </w:rPr>
              <w:t>6</w:t>
            </w:r>
            <w:r w:rsidRPr="005B64F1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2EF81B26" w14:textId="750AE3C3" w:rsidR="005E4BC1" w:rsidRPr="005B64F1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115194">
              <w:rPr>
                <w:rFonts w:cs="Times New Roman"/>
                <w:b/>
                <w:sz w:val="24"/>
                <w:szCs w:val="24"/>
              </w:rPr>
              <w:t>7</w:t>
            </w:r>
            <w:r w:rsidRPr="005B64F1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</w:tr>
      <w:tr w:rsidR="00222052" w:rsidRPr="005B64F1" w14:paraId="3090F139" w14:textId="77777777" w:rsidTr="00DC34A0">
        <w:trPr>
          <w:trHeight w:val="149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</w:tcPr>
          <w:p w14:paraId="55E376CF" w14:textId="191F16D1" w:rsidR="00222052" w:rsidRPr="00361B33" w:rsidRDefault="002E16E6" w:rsidP="00BA5372">
            <w:pPr>
              <w:spacing w:after="0"/>
              <w:rPr>
                <w:rFonts w:cs="Times New Roman"/>
                <w:b/>
                <w:szCs w:val="20"/>
              </w:rPr>
            </w:pPr>
            <w:r w:rsidRPr="00361B33">
              <w:rPr>
                <w:rFonts w:cs="Times New Roman"/>
                <w:szCs w:val="20"/>
              </w:rPr>
              <w:t>Broj korisnika škole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14:paraId="1251C642" w14:textId="034DC4E5" w:rsidR="00222052" w:rsidRPr="00361B33" w:rsidRDefault="002E16E6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Cs w:val="20"/>
                <w:lang w:val="hr-HR" w:eastAsia="en-US"/>
              </w:rPr>
            </w:pPr>
            <w:r w:rsidRPr="00361B33">
              <w:rPr>
                <w:rFonts w:cs="Times New Roman"/>
                <w:szCs w:val="20"/>
              </w:rPr>
              <w:t>Zaposlenici i učenici škole + učenici smješteni u domu SŠ AŠ GAREŠNICA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14:paraId="662F8A65" w14:textId="598CC030" w:rsidR="00222052" w:rsidRPr="00361B33" w:rsidRDefault="002E16E6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szCs w:val="20"/>
                <w:lang w:val="hr-HR" w:eastAsia="en-US"/>
              </w:rPr>
            </w:pPr>
            <w:r w:rsidRPr="00361B33">
              <w:rPr>
                <w:rFonts w:eastAsiaTheme="minorHAnsi" w:cs="Times New Roman"/>
                <w:szCs w:val="20"/>
                <w:lang w:val="hr-HR" w:eastAsia="en-US"/>
              </w:rPr>
              <w:t>EUR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14:paraId="729A5E78" w14:textId="77777777" w:rsidR="00115194" w:rsidRDefault="00115194" w:rsidP="00BA5372">
            <w:pPr>
              <w:pStyle w:val="CellHeader"/>
              <w:spacing w:after="0"/>
              <w:jc w:val="center"/>
              <w:rPr>
                <w:rFonts w:cs="Times New Roman"/>
                <w:bCs w:val="0"/>
                <w:szCs w:val="20"/>
              </w:rPr>
            </w:pPr>
          </w:p>
          <w:p w14:paraId="48DD3C47" w14:textId="5BF8CB41" w:rsidR="00222052" w:rsidRPr="00361B33" w:rsidRDefault="00115194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Cs w:val="20"/>
                <w:lang w:val="hr-HR" w:eastAsia="en-US"/>
              </w:rPr>
            </w:pPr>
            <w:r w:rsidRPr="00877DBA">
              <w:rPr>
                <w:rFonts w:cs="Times New Roman"/>
                <w:bCs w:val="0"/>
                <w:szCs w:val="20"/>
              </w:rPr>
              <w:t>592.954,00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089AAA6" w14:textId="77777777" w:rsidR="002E16E6" w:rsidRPr="00361B33" w:rsidRDefault="002E16E6" w:rsidP="002E16E6">
            <w:pPr>
              <w:spacing w:after="0"/>
              <w:jc w:val="both"/>
              <w:rPr>
                <w:rFonts w:cs="Times New Roman"/>
                <w:bCs/>
                <w:szCs w:val="20"/>
              </w:rPr>
            </w:pPr>
          </w:p>
          <w:p w14:paraId="140DA8A6" w14:textId="77777777" w:rsidR="00361B33" w:rsidRDefault="00361B33" w:rsidP="00361B33">
            <w:pPr>
              <w:spacing w:after="0"/>
              <w:rPr>
                <w:rFonts w:cs="Times New Roman"/>
                <w:bCs/>
                <w:szCs w:val="20"/>
              </w:rPr>
            </w:pPr>
          </w:p>
          <w:p w14:paraId="6A5E45BC" w14:textId="1419FF0B" w:rsidR="00222052" w:rsidRPr="00361B33" w:rsidRDefault="00115194" w:rsidP="00361B33">
            <w:pPr>
              <w:spacing w:after="0"/>
              <w:rPr>
                <w:rFonts w:cs="Times New Roman"/>
                <w:b/>
                <w:szCs w:val="20"/>
              </w:rPr>
            </w:pPr>
            <w:r w:rsidRPr="00877DBA">
              <w:rPr>
                <w:rFonts w:cs="Times New Roman"/>
                <w:bCs/>
                <w:szCs w:val="20"/>
              </w:rPr>
              <w:t>594.154,00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1F5C85F" w14:textId="77777777" w:rsidR="002E16E6" w:rsidRPr="00361B33" w:rsidRDefault="002E16E6" w:rsidP="002E16E6">
            <w:pPr>
              <w:spacing w:after="0"/>
              <w:jc w:val="both"/>
              <w:rPr>
                <w:rFonts w:cs="Times New Roman"/>
                <w:bCs/>
                <w:szCs w:val="20"/>
              </w:rPr>
            </w:pPr>
          </w:p>
          <w:p w14:paraId="6F531A50" w14:textId="77777777" w:rsidR="002E16E6" w:rsidRPr="00361B33" w:rsidRDefault="002E16E6" w:rsidP="002E16E6">
            <w:pPr>
              <w:spacing w:after="0"/>
              <w:jc w:val="both"/>
              <w:rPr>
                <w:rFonts w:cs="Times New Roman"/>
                <w:bCs/>
                <w:szCs w:val="20"/>
              </w:rPr>
            </w:pPr>
          </w:p>
          <w:p w14:paraId="3DA62440" w14:textId="62256C91" w:rsidR="00222052" w:rsidRPr="00361B33" w:rsidRDefault="002E16E6" w:rsidP="00361B33">
            <w:pPr>
              <w:spacing w:after="0"/>
              <w:jc w:val="left"/>
              <w:rPr>
                <w:rFonts w:cs="Times New Roman"/>
                <w:b/>
                <w:szCs w:val="20"/>
              </w:rPr>
            </w:pPr>
            <w:r w:rsidRPr="00361B33">
              <w:rPr>
                <w:rFonts w:cs="Times New Roman"/>
                <w:bCs/>
                <w:szCs w:val="20"/>
              </w:rPr>
              <w:t>2</w:t>
            </w:r>
            <w:r w:rsidRPr="00115194">
              <w:rPr>
                <w:rFonts w:cs="Times New Roman"/>
                <w:bCs/>
                <w:szCs w:val="20"/>
              </w:rPr>
              <w:t>.226.800,00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C6CAA85" w14:textId="77777777" w:rsidR="002E16E6" w:rsidRPr="00361B33" w:rsidRDefault="002E16E6" w:rsidP="002E16E6">
            <w:pPr>
              <w:spacing w:after="0"/>
              <w:jc w:val="both"/>
              <w:rPr>
                <w:rFonts w:cs="Times New Roman"/>
                <w:bCs/>
                <w:szCs w:val="20"/>
              </w:rPr>
            </w:pPr>
          </w:p>
          <w:p w14:paraId="743155B1" w14:textId="77777777" w:rsidR="002E16E6" w:rsidRPr="00361B33" w:rsidRDefault="002E16E6" w:rsidP="002E16E6">
            <w:pPr>
              <w:spacing w:after="0"/>
              <w:jc w:val="both"/>
              <w:rPr>
                <w:rFonts w:cs="Times New Roman"/>
                <w:bCs/>
                <w:szCs w:val="20"/>
              </w:rPr>
            </w:pPr>
          </w:p>
          <w:p w14:paraId="29C974C2" w14:textId="23B1633C" w:rsidR="00222052" w:rsidRPr="00361B33" w:rsidRDefault="002E16E6" w:rsidP="00361B33">
            <w:pPr>
              <w:spacing w:after="0"/>
              <w:jc w:val="left"/>
              <w:rPr>
                <w:rFonts w:cs="Times New Roman"/>
                <w:b/>
                <w:szCs w:val="20"/>
              </w:rPr>
            </w:pPr>
            <w:r w:rsidRPr="00361B33">
              <w:rPr>
                <w:rFonts w:cs="Times New Roman"/>
                <w:bCs/>
                <w:szCs w:val="20"/>
              </w:rPr>
              <w:t>2.226.800,00</w:t>
            </w:r>
          </w:p>
        </w:tc>
      </w:tr>
      <w:bookmarkEnd w:id="7"/>
    </w:tbl>
    <w:p w14:paraId="4AC68F64" w14:textId="77777777" w:rsidR="00222052" w:rsidRDefault="00222052" w:rsidP="0082227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A9BEFC" w14:textId="358607C7" w:rsidR="005208B8" w:rsidRPr="005B64F1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NAZIV PROGRAMA:</w:t>
      </w:r>
      <w:r>
        <w:rPr>
          <w:rFonts w:ascii="Times New Roman" w:hAnsi="Times New Roman" w:cs="Times New Roman"/>
          <w:b/>
          <w:sz w:val="24"/>
          <w:szCs w:val="24"/>
        </w:rPr>
        <w:t xml:space="preserve"> Srednjoškolsko obrazovanje  - decentralizacija</w:t>
      </w:r>
    </w:p>
    <w:p w14:paraId="371083FE" w14:textId="77777777" w:rsidR="005208B8" w:rsidRPr="005B64F1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</w:p>
    <w:p w14:paraId="0FA474D4" w14:textId="00932C70" w:rsidR="005208B8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0EA6707E" w14:textId="67BCF40C" w:rsidR="005208B8" w:rsidRPr="00C460E2" w:rsidRDefault="00C460E2" w:rsidP="005208B8">
      <w:pPr>
        <w:rPr>
          <w:rFonts w:ascii="Times New Roman" w:hAnsi="Times New Roman" w:cs="Times New Roman"/>
          <w:bCs/>
          <w:sz w:val="24"/>
          <w:szCs w:val="24"/>
        </w:rPr>
      </w:pPr>
      <w:r w:rsidRPr="00C460E2">
        <w:rPr>
          <w:rFonts w:ascii="Times New Roman" w:hAnsi="Times New Roman" w:cs="Times New Roman"/>
          <w:bCs/>
          <w:sz w:val="24"/>
          <w:szCs w:val="24"/>
        </w:rPr>
        <w:t xml:space="preserve">Decentralizirana sredstva </w:t>
      </w:r>
      <w:r>
        <w:rPr>
          <w:rFonts w:ascii="Times New Roman" w:hAnsi="Times New Roman" w:cs="Times New Roman"/>
          <w:bCs/>
          <w:sz w:val="24"/>
          <w:szCs w:val="24"/>
        </w:rPr>
        <w:t xml:space="preserve">planirana su u iznosu 225.787,00 eur za materijalne i financijske rashode, za rashode tekućeg i investicijskog održavanja objekata i opreme, te za rashode za nabavu proizvedene dugotrajne imovine za objekt škole i Učeničkog doma. </w:t>
      </w:r>
    </w:p>
    <w:p w14:paraId="51D77F93" w14:textId="4CCEBA96" w:rsidR="005208B8" w:rsidRDefault="005208B8" w:rsidP="005208B8">
      <w:pPr>
        <w:rPr>
          <w:rFonts w:ascii="Times New Roman" w:hAnsi="Times New Roman" w:cs="Times New Roman"/>
          <w:sz w:val="24"/>
          <w:szCs w:val="24"/>
        </w:rPr>
      </w:pPr>
      <w:r w:rsidRPr="0051499A">
        <w:rPr>
          <w:rFonts w:ascii="Times New Roman" w:hAnsi="Times New Roman" w:cs="Times New Roman"/>
          <w:sz w:val="24"/>
          <w:szCs w:val="24"/>
        </w:rPr>
        <w:t>U sklopu ovog programa planiran</w:t>
      </w:r>
      <w:r w:rsidR="00C460E2">
        <w:rPr>
          <w:rFonts w:ascii="Times New Roman" w:hAnsi="Times New Roman" w:cs="Times New Roman"/>
          <w:sz w:val="24"/>
          <w:szCs w:val="24"/>
        </w:rPr>
        <w:t xml:space="preserve">e su </w:t>
      </w:r>
      <w:r w:rsidRPr="0051499A">
        <w:rPr>
          <w:rFonts w:ascii="Times New Roman" w:hAnsi="Times New Roman" w:cs="Times New Roman"/>
          <w:sz w:val="24"/>
          <w:szCs w:val="24"/>
        </w:rPr>
        <w:t xml:space="preserve"> sljedeć</w:t>
      </w:r>
      <w:r w:rsidR="00C460E2">
        <w:rPr>
          <w:rFonts w:ascii="Times New Roman" w:hAnsi="Times New Roman" w:cs="Times New Roman"/>
          <w:sz w:val="24"/>
          <w:szCs w:val="24"/>
        </w:rPr>
        <w:t>e</w:t>
      </w:r>
      <w:r w:rsidRPr="0051499A">
        <w:rPr>
          <w:rFonts w:ascii="Times New Roman" w:hAnsi="Times New Roman" w:cs="Times New Roman"/>
          <w:sz w:val="24"/>
          <w:szCs w:val="24"/>
        </w:rPr>
        <w:t xml:space="preserve"> aktivnost</w:t>
      </w:r>
      <w:r w:rsidR="00C460E2">
        <w:rPr>
          <w:rFonts w:ascii="Times New Roman" w:hAnsi="Times New Roman" w:cs="Times New Roman"/>
          <w:sz w:val="24"/>
          <w:szCs w:val="24"/>
        </w:rPr>
        <w:t>i</w:t>
      </w:r>
      <w:r w:rsidRPr="005149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4607E9" w14:textId="7B41E364" w:rsidR="005208B8" w:rsidRPr="0051499A" w:rsidRDefault="005208B8" w:rsidP="00520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A0002</w:t>
      </w:r>
      <w:r w:rsidR="00C460E2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Redovna djelatnost SŠ-</w:t>
      </w:r>
      <w:r w:rsidR="00C460E2">
        <w:rPr>
          <w:rFonts w:ascii="Times New Roman" w:hAnsi="Times New Roman" w:cs="Times New Roman"/>
          <w:b/>
          <w:bCs/>
          <w:sz w:val="24"/>
          <w:szCs w:val="24"/>
        </w:rPr>
        <w:t>dec</w:t>
      </w:r>
    </w:p>
    <w:p w14:paraId="40AA69DC" w14:textId="60FB3486" w:rsidR="005208B8" w:rsidRPr="0051499A" w:rsidRDefault="005208B8" w:rsidP="0052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ovoj aktivnosti planirana su sredstva za  </w:t>
      </w:r>
      <w:r w:rsidR="00CD2179">
        <w:rPr>
          <w:rFonts w:ascii="Times New Roman" w:hAnsi="Times New Roman" w:cs="Times New Roman"/>
          <w:sz w:val="24"/>
          <w:szCs w:val="24"/>
        </w:rPr>
        <w:t>materijalne i financijske rashode, sredstva za financiranje prijevoza zaposlenika škole s posla na posao, rashodi za službena putovanja i stručna usavršavanja zaposlenika</w:t>
      </w:r>
      <w:r w:rsidR="00E52A9B">
        <w:rPr>
          <w:rFonts w:ascii="Times New Roman" w:hAnsi="Times New Roman" w:cs="Times New Roman"/>
          <w:sz w:val="24"/>
          <w:szCs w:val="24"/>
        </w:rPr>
        <w:t xml:space="preserve">, te sredstva za nabavu računalne opreme i uredskog namještaja. </w:t>
      </w:r>
    </w:p>
    <w:p w14:paraId="64ABEC32" w14:textId="5266E8D0" w:rsidR="005208B8" w:rsidRPr="00F528EE" w:rsidRDefault="005208B8" w:rsidP="005208B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5208B8" w:rsidRPr="005B64F1" w14:paraId="5C4A99DE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32911ABF" w14:textId="1ED05455" w:rsidR="005208B8" w:rsidRPr="005B64F1" w:rsidRDefault="005208B8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151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03BBF066" w14:textId="2FE4CFB9" w:rsidR="005208B8" w:rsidRPr="005B64F1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5C0238D1" w14:textId="1D3C7E1E" w:rsidR="005208B8" w:rsidRPr="005B64F1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Novi plan </w:t>
            </w:r>
            <w:r w:rsidR="005208B8"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208B8"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208B8" w:rsidRPr="005B64F1" w14:paraId="5205EB91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34FDC1BA" w14:textId="6BD787B9" w:rsidR="005208B8" w:rsidRPr="00EA6DA1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28.448,00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FDBB84" w14:textId="022FF054" w:rsidR="005208B8" w:rsidRPr="00FD70A8" w:rsidRDefault="009D13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27.999,00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0F5A3E" w14:textId="292B8949" w:rsidR="005208B8" w:rsidRPr="00FD70A8" w:rsidRDefault="009D13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56.447,00</w:t>
            </w:r>
          </w:p>
        </w:tc>
      </w:tr>
    </w:tbl>
    <w:p w14:paraId="5E88F33F" w14:textId="77777777" w:rsidR="00EA6DA1" w:rsidRDefault="00E52A9B" w:rsidP="00E52A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45FFD26" w14:textId="16B951EF" w:rsidR="00E52A9B" w:rsidRPr="0051499A" w:rsidRDefault="00E52A9B" w:rsidP="00E52A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A0002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Otplata kredita u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SŠ-</w:t>
      </w:r>
      <w:r>
        <w:rPr>
          <w:rFonts w:ascii="Times New Roman" w:hAnsi="Times New Roman" w:cs="Times New Roman"/>
          <w:b/>
          <w:bCs/>
          <w:sz w:val="24"/>
          <w:szCs w:val="24"/>
        </w:rPr>
        <w:t>dec</w:t>
      </w:r>
    </w:p>
    <w:p w14:paraId="117F5AF2" w14:textId="595A5FD8" w:rsidR="00E52A9B" w:rsidRPr="0051499A" w:rsidRDefault="00E52A9B" w:rsidP="00E52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ovoj aktivnosti planirana su vlastit sredstva za otplatu rata leasinga za financiranje nabave školskog kobi vozila. Rok otplate je 7 godina.</w:t>
      </w:r>
    </w:p>
    <w:p w14:paraId="5DD0BBF8" w14:textId="03BBB04B" w:rsidR="00E52A9B" w:rsidRPr="00F528EE" w:rsidRDefault="00E52A9B" w:rsidP="00E52A9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E52A9B" w:rsidRPr="005B64F1" w14:paraId="562678D9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2BC812EE" w14:textId="60185F9C" w:rsidR="00E52A9B" w:rsidRPr="005B64F1" w:rsidRDefault="00E52A9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151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358AF546" w14:textId="00FDA200" w:rsidR="00E52A9B" w:rsidRPr="005B64F1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2EF05CD7" w14:textId="085BECE0" w:rsidR="00E52A9B" w:rsidRPr="005B64F1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Novi plan </w:t>
            </w: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52A9B" w:rsidRPr="005B64F1" w14:paraId="16F44A2E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1CF70762" w14:textId="18647242" w:rsidR="00E52A9B" w:rsidRPr="00E52A9B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1.584,00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E2F951" w14:textId="74A45F7D" w:rsidR="00E52A9B" w:rsidRPr="005B64F1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837389" w14:textId="1D82A847" w:rsidR="00E52A9B" w:rsidRPr="005B64F1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1.584,00</w:t>
            </w:r>
          </w:p>
        </w:tc>
      </w:tr>
    </w:tbl>
    <w:p w14:paraId="0582B977" w14:textId="77777777" w:rsidR="00665CEE" w:rsidRDefault="00665CEE" w:rsidP="003B26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6EC29C" w14:textId="67E634C1" w:rsidR="003B2613" w:rsidRPr="0051499A" w:rsidRDefault="003B2613" w:rsidP="003B26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291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Prehrana i smještaj  - Učenički domovi – dec </w:t>
      </w:r>
    </w:p>
    <w:p w14:paraId="2C2CCC7D" w14:textId="584DD730" w:rsidR="003B2613" w:rsidRPr="0051499A" w:rsidRDefault="003B2613" w:rsidP="003B2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ovoj aktivnosti planirana su vlastit sredstva za  materijalne i financijske rashode za potrebe Učeničkog doma koji se nalazi u sklopu srednjoškolske ustanove. </w:t>
      </w:r>
    </w:p>
    <w:p w14:paraId="4DADADE0" w14:textId="3114BDA2" w:rsidR="003B2613" w:rsidRPr="00F528EE" w:rsidRDefault="003B2613" w:rsidP="003B261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3B2613" w:rsidRPr="005B64F1" w14:paraId="0B2CE859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1AF45BBE" w14:textId="76FA61C3" w:rsidR="003B2613" w:rsidRPr="005B64F1" w:rsidRDefault="003B261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151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2B705B0C" w14:textId="264B343C" w:rsidR="003B2613" w:rsidRPr="005B64F1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106198BB" w14:textId="74C21686" w:rsidR="003B2613" w:rsidRPr="005B64F1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Novi plan </w:t>
            </w: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B2613" w:rsidRPr="005B64F1" w14:paraId="6CC0D8C5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54DA4A77" w14:textId="21D57392" w:rsidR="003B2613" w:rsidRPr="00E52A9B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32.787,00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67908B" w14:textId="40651DB9" w:rsidR="003B2613" w:rsidRPr="005B64F1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21121F" w14:textId="095BB7D8" w:rsidR="003B2613" w:rsidRPr="005B64F1" w:rsidRDefault="00115194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32.787,00</w:t>
            </w:r>
          </w:p>
        </w:tc>
      </w:tr>
    </w:tbl>
    <w:p w14:paraId="19E0821B" w14:textId="77777777" w:rsidR="00E52A9B" w:rsidRPr="005B64F1" w:rsidRDefault="00E52A9B" w:rsidP="00520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C53B2" w14:textId="77777777" w:rsidR="005208B8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47070249" w14:textId="799FD581" w:rsidR="003B2613" w:rsidRPr="003B2613" w:rsidRDefault="003B2613" w:rsidP="005208B8">
      <w:pPr>
        <w:rPr>
          <w:rFonts w:ascii="Times New Roman" w:hAnsi="Times New Roman" w:cs="Times New Roman"/>
          <w:bCs/>
          <w:sz w:val="24"/>
          <w:szCs w:val="24"/>
        </w:rPr>
      </w:pPr>
      <w:r w:rsidRPr="003B2613">
        <w:rPr>
          <w:rFonts w:ascii="Times New Roman" w:hAnsi="Times New Roman" w:cs="Times New Roman"/>
          <w:bCs/>
          <w:sz w:val="24"/>
          <w:szCs w:val="24"/>
        </w:rPr>
        <w:lastRenderedPageBreak/>
        <w:t>Cil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3B2613">
        <w:rPr>
          <w:rFonts w:ascii="Times New Roman" w:hAnsi="Times New Roman" w:cs="Times New Roman"/>
          <w:bCs/>
          <w:sz w:val="24"/>
          <w:szCs w:val="24"/>
        </w:rPr>
        <w:t xml:space="preserve"> programa je r</w:t>
      </w:r>
      <w:r>
        <w:rPr>
          <w:rFonts w:ascii="Times New Roman" w:hAnsi="Times New Roman" w:cs="Times New Roman"/>
          <w:bCs/>
          <w:sz w:val="24"/>
          <w:szCs w:val="24"/>
        </w:rPr>
        <w:t>edovan djelatnost škole i Učeničkog doma kroz decentralizirana sredstva, naknada zaposlenicima za troškove prijevoza, službena putovanja i stručna usavršavanja, podmirenje tekućih obveza za energente i tekuće i i</w:t>
      </w:r>
      <w:r w:rsidR="001619C3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vesticijsko</w:t>
      </w:r>
      <w:r w:rsidR="001619C3">
        <w:rPr>
          <w:rFonts w:ascii="Times New Roman" w:hAnsi="Times New Roman" w:cs="Times New Roman"/>
          <w:bCs/>
          <w:sz w:val="24"/>
          <w:szCs w:val="24"/>
        </w:rPr>
        <w:t xml:space="preserve"> održavanje te ulaganje u opremu</w:t>
      </w:r>
      <w:r w:rsidR="00361B33">
        <w:rPr>
          <w:rFonts w:ascii="Times New Roman" w:hAnsi="Times New Roman" w:cs="Times New Roman"/>
          <w:bCs/>
          <w:sz w:val="24"/>
          <w:szCs w:val="24"/>
        </w:rPr>
        <w:t>, te oplata rata les</w:t>
      </w:r>
      <w:r w:rsidR="000A3DB8">
        <w:rPr>
          <w:rFonts w:ascii="Times New Roman" w:hAnsi="Times New Roman" w:cs="Times New Roman"/>
          <w:bCs/>
          <w:sz w:val="24"/>
          <w:szCs w:val="24"/>
        </w:rPr>
        <w:t xml:space="preserve">inga. </w:t>
      </w:r>
    </w:p>
    <w:p w14:paraId="7CDE7174" w14:textId="77777777" w:rsidR="005208B8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017C8474" w14:textId="46E8A548" w:rsidR="00361B33" w:rsidRPr="00EA6DA1" w:rsidRDefault="001619C3" w:rsidP="005208B8">
      <w:pPr>
        <w:rPr>
          <w:rFonts w:ascii="Times New Roman" w:hAnsi="Times New Roman" w:cs="Times New Roman"/>
          <w:bCs/>
          <w:sz w:val="24"/>
          <w:szCs w:val="24"/>
        </w:rPr>
      </w:pPr>
      <w:r w:rsidRPr="001619C3">
        <w:rPr>
          <w:rFonts w:ascii="Times New Roman" w:hAnsi="Times New Roman" w:cs="Times New Roman"/>
          <w:bCs/>
          <w:sz w:val="24"/>
          <w:szCs w:val="24"/>
        </w:rPr>
        <w:t>Odluke o kriterijima</w:t>
      </w:r>
      <w:r>
        <w:rPr>
          <w:rFonts w:ascii="Times New Roman" w:hAnsi="Times New Roman" w:cs="Times New Roman"/>
          <w:bCs/>
          <w:sz w:val="24"/>
          <w:szCs w:val="24"/>
        </w:rPr>
        <w:t xml:space="preserve"> i mjerilima za utvrđivanje bilančnih prava za financiranje minimalnog financijskog standarda javnih potreba srednjih škola i učeničkih domova u 2025. godini (NN 16/25), Uputa za izradu proračuna Bjelovarsko – bilogorske županije za razdoblje 2026. – 2028. godine.</w:t>
      </w:r>
    </w:p>
    <w:p w14:paraId="5A40FF15" w14:textId="77777777" w:rsidR="005208B8" w:rsidRPr="005B64F1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tbl>
      <w:tblPr>
        <w:tblStyle w:val="StilTablice"/>
        <w:tblW w:w="10343" w:type="dxa"/>
        <w:jc w:val="center"/>
        <w:tblLook w:val="04A0" w:firstRow="1" w:lastRow="0" w:firstColumn="1" w:lastColumn="0" w:noHBand="0" w:noVBand="1"/>
      </w:tblPr>
      <w:tblGrid>
        <w:gridCol w:w="1420"/>
        <w:gridCol w:w="1462"/>
        <w:gridCol w:w="983"/>
        <w:gridCol w:w="1343"/>
        <w:gridCol w:w="1305"/>
        <w:gridCol w:w="1283"/>
        <w:gridCol w:w="1283"/>
        <w:gridCol w:w="1264"/>
      </w:tblGrid>
      <w:tr w:rsidR="00EA6DA1" w:rsidRPr="005B64F1" w14:paraId="1D4A421B" w14:textId="77777777" w:rsidTr="006F72EA">
        <w:trPr>
          <w:trHeight w:val="354"/>
          <w:jc w:val="center"/>
        </w:trPr>
        <w:tc>
          <w:tcPr>
            <w:tcW w:w="1420" w:type="dxa"/>
            <w:shd w:val="clear" w:color="auto" w:fill="B5C0D8"/>
          </w:tcPr>
          <w:p w14:paraId="0A86BDF8" w14:textId="77777777" w:rsidR="005208B8" w:rsidRPr="005B64F1" w:rsidRDefault="005208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462" w:type="dxa"/>
            <w:shd w:val="clear" w:color="auto" w:fill="B5C0D8"/>
          </w:tcPr>
          <w:p w14:paraId="6E3297CD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83" w:type="dxa"/>
            <w:shd w:val="clear" w:color="auto" w:fill="B5C0D8"/>
          </w:tcPr>
          <w:p w14:paraId="25F682F8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343" w:type="dxa"/>
            <w:shd w:val="clear" w:color="auto" w:fill="B5C0D8"/>
          </w:tcPr>
          <w:p w14:paraId="7D0B225B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305" w:type="dxa"/>
            <w:shd w:val="clear" w:color="auto" w:fill="B5C0D8"/>
          </w:tcPr>
          <w:p w14:paraId="2F31FB17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283" w:type="dxa"/>
            <w:shd w:val="clear" w:color="auto" w:fill="B5C0D8"/>
          </w:tcPr>
          <w:p w14:paraId="2B7A68EA" w14:textId="45F928F1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9D13AE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5</w:t>
            </w: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283" w:type="dxa"/>
            <w:shd w:val="clear" w:color="auto" w:fill="B5C0D8"/>
          </w:tcPr>
          <w:p w14:paraId="12179E65" w14:textId="7D5035A3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9D13AE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264" w:type="dxa"/>
            <w:shd w:val="clear" w:color="auto" w:fill="B5C0D8"/>
          </w:tcPr>
          <w:p w14:paraId="2F2443D0" w14:textId="291B68DC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9D13AE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5208B8" w:rsidRPr="005B64F1" w14:paraId="7BA15A86" w14:textId="77777777" w:rsidTr="006F72EA">
        <w:trPr>
          <w:trHeight w:val="451"/>
          <w:jc w:val="center"/>
        </w:trPr>
        <w:tc>
          <w:tcPr>
            <w:tcW w:w="1420" w:type="dxa"/>
          </w:tcPr>
          <w:p w14:paraId="44D6BA7C" w14:textId="0BC30DA9" w:rsidR="005208B8" w:rsidRPr="00EA6DA1" w:rsidRDefault="00EA6DA1" w:rsidP="006F72EA">
            <w:pPr>
              <w:rPr>
                <w:rFonts w:cs="Times New Roman"/>
                <w:szCs w:val="20"/>
              </w:rPr>
            </w:pPr>
            <w:r w:rsidRPr="00EA6DA1">
              <w:rPr>
                <w:rFonts w:cs="Times New Roman"/>
                <w:szCs w:val="20"/>
              </w:rPr>
              <w:t>Redovito obavlj</w:t>
            </w:r>
            <w:r w:rsidR="00410EC7">
              <w:rPr>
                <w:rFonts w:cs="Times New Roman"/>
                <w:szCs w:val="20"/>
              </w:rPr>
              <w:t>a</w:t>
            </w:r>
            <w:r w:rsidRPr="00EA6DA1">
              <w:rPr>
                <w:rFonts w:cs="Times New Roman"/>
                <w:szCs w:val="20"/>
              </w:rPr>
              <w:t>nje djelatnosti</w:t>
            </w:r>
          </w:p>
        </w:tc>
        <w:tc>
          <w:tcPr>
            <w:tcW w:w="1462" w:type="dxa"/>
          </w:tcPr>
          <w:p w14:paraId="7CBCF51E" w14:textId="1EA23434" w:rsidR="005208B8" w:rsidRPr="00EA6DA1" w:rsidRDefault="00EA6DA1" w:rsidP="006F72EA">
            <w:pPr>
              <w:rPr>
                <w:rFonts w:cs="Times New Roman"/>
                <w:szCs w:val="20"/>
              </w:rPr>
            </w:pPr>
            <w:r w:rsidRPr="00EA6DA1">
              <w:rPr>
                <w:rFonts w:cs="Times New Roman"/>
                <w:szCs w:val="20"/>
              </w:rPr>
              <w:t>Veličin</w:t>
            </w:r>
            <w:r w:rsidR="00410EC7">
              <w:rPr>
                <w:rFonts w:cs="Times New Roman"/>
                <w:szCs w:val="20"/>
              </w:rPr>
              <w:t>a</w:t>
            </w:r>
            <w:r w:rsidRPr="00EA6DA1">
              <w:rPr>
                <w:rFonts w:cs="Times New Roman"/>
                <w:szCs w:val="20"/>
              </w:rPr>
              <w:t xml:space="preserve"> objekata škole i doma</w:t>
            </w:r>
            <w:r w:rsidR="00410EC7">
              <w:rPr>
                <w:rFonts w:cs="Times New Roman"/>
                <w:szCs w:val="20"/>
              </w:rPr>
              <w:t xml:space="preserve"> </w:t>
            </w:r>
            <w:r w:rsidRPr="00EA6DA1">
              <w:rPr>
                <w:rFonts w:cs="Times New Roman"/>
                <w:szCs w:val="20"/>
              </w:rPr>
              <w:t>+</w:t>
            </w:r>
            <w:r w:rsidR="00410EC7">
              <w:rPr>
                <w:rFonts w:cs="Times New Roman"/>
                <w:szCs w:val="20"/>
              </w:rPr>
              <w:t xml:space="preserve"> </w:t>
            </w:r>
            <w:r w:rsidRPr="00EA6DA1">
              <w:rPr>
                <w:rFonts w:cs="Times New Roman"/>
                <w:szCs w:val="20"/>
              </w:rPr>
              <w:t>broj učenika i korisnika</w:t>
            </w:r>
          </w:p>
        </w:tc>
        <w:tc>
          <w:tcPr>
            <w:tcW w:w="983" w:type="dxa"/>
          </w:tcPr>
          <w:p w14:paraId="78148A70" w14:textId="77777777" w:rsidR="005208B8" w:rsidRPr="00EA6DA1" w:rsidRDefault="005208B8" w:rsidP="006F72EA">
            <w:pPr>
              <w:rPr>
                <w:rFonts w:cs="Times New Roman"/>
                <w:szCs w:val="20"/>
              </w:rPr>
            </w:pPr>
            <w:r w:rsidRPr="00EA6DA1">
              <w:rPr>
                <w:rFonts w:cs="Times New Roman"/>
                <w:szCs w:val="20"/>
              </w:rPr>
              <w:t>EUR</w:t>
            </w:r>
          </w:p>
        </w:tc>
        <w:tc>
          <w:tcPr>
            <w:tcW w:w="1343" w:type="dxa"/>
          </w:tcPr>
          <w:p w14:paraId="470FE558" w14:textId="1D668E36" w:rsidR="005208B8" w:rsidRPr="00EA6DA1" w:rsidRDefault="009D13AE" w:rsidP="006F72EA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62.819,00</w:t>
            </w:r>
          </w:p>
        </w:tc>
        <w:tc>
          <w:tcPr>
            <w:tcW w:w="1305" w:type="dxa"/>
          </w:tcPr>
          <w:p w14:paraId="47DE4825" w14:textId="7951F7EC" w:rsidR="005208B8" w:rsidRPr="00EA6DA1" w:rsidRDefault="00EA6DA1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Podaci o ukupnom broju učenika i korisnika, razrednih odjela i broj građevina</w:t>
            </w:r>
          </w:p>
        </w:tc>
        <w:tc>
          <w:tcPr>
            <w:tcW w:w="1283" w:type="dxa"/>
          </w:tcPr>
          <w:p w14:paraId="358291DA" w14:textId="500FA5E4" w:rsidR="005208B8" w:rsidRPr="00EA6DA1" w:rsidRDefault="009D13AE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bCs/>
                <w:szCs w:val="20"/>
              </w:rPr>
              <w:t>90.818,00</w:t>
            </w:r>
          </w:p>
        </w:tc>
        <w:tc>
          <w:tcPr>
            <w:tcW w:w="1283" w:type="dxa"/>
          </w:tcPr>
          <w:p w14:paraId="6D222CF0" w14:textId="445ED21C" w:rsidR="005208B8" w:rsidRPr="00EA6DA1" w:rsidRDefault="00EA6DA1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bCs/>
                <w:szCs w:val="20"/>
              </w:rPr>
              <w:t>225.787</w:t>
            </w:r>
            <w:r w:rsidR="005208B8" w:rsidRPr="00EA6DA1">
              <w:rPr>
                <w:rFonts w:cs="Times New Roman"/>
                <w:bCs/>
                <w:szCs w:val="20"/>
              </w:rPr>
              <w:t>,00</w:t>
            </w:r>
          </w:p>
        </w:tc>
        <w:tc>
          <w:tcPr>
            <w:tcW w:w="1264" w:type="dxa"/>
          </w:tcPr>
          <w:p w14:paraId="5322DDBC" w14:textId="1123F1E4" w:rsidR="005208B8" w:rsidRPr="00EA6DA1" w:rsidRDefault="00EA6DA1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bCs/>
                <w:szCs w:val="20"/>
              </w:rPr>
              <w:t>225.787</w:t>
            </w:r>
            <w:r w:rsidR="005208B8" w:rsidRPr="00EA6DA1">
              <w:rPr>
                <w:rFonts w:cs="Times New Roman"/>
                <w:bCs/>
                <w:szCs w:val="20"/>
              </w:rPr>
              <w:t>,00</w:t>
            </w:r>
          </w:p>
        </w:tc>
      </w:tr>
    </w:tbl>
    <w:p w14:paraId="781AAFBA" w14:textId="77777777" w:rsidR="005208B8" w:rsidRPr="005B64F1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</w:p>
    <w:p w14:paraId="32D465E3" w14:textId="77777777" w:rsidR="005208B8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7FCC9302" w14:textId="00378C21" w:rsidR="005208B8" w:rsidRPr="00410EC7" w:rsidRDefault="005208B8" w:rsidP="005208B8">
      <w:pPr>
        <w:rPr>
          <w:rFonts w:ascii="Times New Roman" w:hAnsi="Times New Roman" w:cs="Times New Roman"/>
          <w:bCs/>
          <w:sz w:val="24"/>
          <w:szCs w:val="24"/>
        </w:rPr>
      </w:pPr>
      <w:r w:rsidRPr="002E16E6">
        <w:rPr>
          <w:rFonts w:ascii="Times New Roman" w:hAnsi="Times New Roman" w:cs="Times New Roman"/>
          <w:bCs/>
          <w:sz w:val="24"/>
          <w:szCs w:val="24"/>
        </w:rPr>
        <w:t xml:space="preserve">Postignuti su ciljevi u 2025.g. </w:t>
      </w:r>
      <w:r w:rsidR="00410EC7">
        <w:rPr>
          <w:rFonts w:ascii="Times New Roman" w:hAnsi="Times New Roman" w:cs="Times New Roman"/>
          <w:bCs/>
          <w:sz w:val="24"/>
          <w:szCs w:val="24"/>
        </w:rPr>
        <w:t xml:space="preserve">jer su sredstva utrošen prema planu za financiranje energenata, tekućeg i investicijskog održavanja, podmirene su obveze prema zaposlenicima za troškove prijevoza, omogućena stručna usavršavanja, nabavljena je oprema i podmirene su obveze za rate leasinga. </w:t>
      </w:r>
    </w:p>
    <w:p w14:paraId="6630B07B" w14:textId="77777777" w:rsidR="005208B8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64ABEF32" w14:textId="77777777" w:rsidR="00FD70A8" w:rsidRPr="00877DBA" w:rsidRDefault="00FD70A8" w:rsidP="00FD70A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Odlukom o ustrojstvu i djelokrugu upravnih tijela Bjelovarsko-bilogorske županije koja je donesena na 2. sjednici Županijske skupštine Bjelovarsko-bilogorske županije 4. srpnja 2025. godine mijenja se ustrojstvo, djelokrug i način rada upravnih tijela Bjelovarsko-bilogorske županije. Iz navedene Odluke koja je stupila na snagu 15. srpnja 2025. godine, a sukladno ustrojstvu i djelokrugu propisanim Odlukom, proizlaze promjene kod upravnih tijela Bjelovarsko-bilogorske županije, odnosno proračunskih korisnika Bjelovarsko-bilogorske županije. Promjene utvrđene Odlukom odnose se na promjenu naziva upravnih tijela Bjelovarsko-bilogorske županije, ustroj novih tijela Bjelovarsko-bilogorske županije, prestanak rada dosadašnjih upravnih tijela Bjelovarsko-bilogorske županije te preuzimanje poslova iz djelokruga upravnih tijela Bjelovarsko-bilogorske županije koja prestaju s radom. Srednja škola bila je proračunski korisnik Upravnog odjela za društvene djelatnosti, a sada je to Upravni odjel za obrazovanje, kulturu i udruge.</w:t>
      </w:r>
    </w:p>
    <w:p w14:paraId="33042EFA" w14:textId="77777777" w:rsidR="00FD70A8" w:rsidRPr="00877DBA" w:rsidRDefault="00FD70A8" w:rsidP="00FD70A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877D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Navedene promjene utječu na </w:t>
      </w: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izvršavanje proračuna </w:t>
      </w:r>
      <w:r w:rsidRPr="00877D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Bjelovarsko-bilogorske županije</w:t>
      </w: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 i financijskih planova upravnih tijela kod kojih se mijenja ustrojstvo i djelokrug rada te je iz tog razloga bilo potrebno pristupiti II. izmjenama i dopunama proračuna za 2025. godinu kako bi se proračun uskladio s novim ustrojstvom. </w:t>
      </w:r>
    </w:p>
    <w:p w14:paraId="428AF02E" w14:textId="77777777" w:rsidR="00FD70A8" w:rsidRDefault="00FD70A8" w:rsidP="00FD70A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II. izmjene i dopune proračuna potrebno je bilo odraditi na način da se plan razdvoji na 2 organizacijske jedinice (stara i nova). </w:t>
      </w:r>
      <w:r w:rsidRPr="00877DB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hr-HR"/>
        </w:rPr>
        <w:t>Na staroj organizacijskoj jedinici planirali smo sve što</w:t>
      </w:r>
      <w:r w:rsidRPr="00877D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hr-HR"/>
        </w:rPr>
        <w:t xml:space="preserve"> </w:t>
      </w:r>
      <w:r w:rsidRPr="00877DB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hr-HR"/>
        </w:rPr>
        <w:t>se izvršava do 30. rujna (sve što se knjiži zaključno s tim datumom), a na novoj organizacijskoj jedinici sve što će se izvršavati od 1. listopada</w:t>
      </w: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 Potrebno je bilo napraviti procjenu rashoda koji će se izvršavati prema navedenom, odnosno prvim dijelom rebalansa procijeniti prihode i rashode potrebne do kraja rujna.</w:t>
      </w:r>
    </w:p>
    <w:p w14:paraId="43392772" w14:textId="118E11B2" w:rsidR="009D13AE" w:rsidRDefault="00FD70A8" w:rsidP="00FD70A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</w:t>
      </w:r>
      <w:r w:rsidRPr="00877DB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izmjene i dopune proračuna potrebno je bilo odraditi na način da se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prikažu promjene samo na novoj organizacijskoj jedinici za razdoblje od 1. listopada do 31.prosinca. Zbog povećanja cijene energenata i velikog broja servisa na sustavu grijanja školi su odobrena dodatna sredstva. </w:t>
      </w:r>
      <w:r w:rsidR="009D13A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Također su odobrena dodatna sredstava z nabavu sigurnosne brave postavljene na glavni ulaz škole, te sredstva za izradu Procjene rizika vodoopskrbnog sustava koji je nužno izraditi do kraja školske godine.</w:t>
      </w:r>
    </w:p>
    <w:p w14:paraId="5A976E8D" w14:textId="77777777" w:rsidR="002257B3" w:rsidRDefault="002257B3" w:rsidP="005208B8">
      <w:pPr>
        <w:rPr>
          <w:rFonts w:ascii="Times New Roman" w:hAnsi="Times New Roman" w:cs="Times New Roman"/>
          <w:b/>
          <w:sz w:val="24"/>
          <w:szCs w:val="24"/>
        </w:rPr>
      </w:pPr>
    </w:p>
    <w:p w14:paraId="2D6CAFD0" w14:textId="300212C9" w:rsidR="005208B8" w:rsidRPr="005B64F1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485" w:type="dxa"/>
        <w:jc w:val="center"/>
        <w:tblLook w:val="04A0" w:firstRow="1" w:lastRow="0" w:firstColumn="1" w:lastColumn="0" w:noHBand="0" w:noVBand="1"/>
      </w:tblPr>
      <w:tblGrid>
        <w:gridCol w:w="2330"/>
        <w:gridCol w:w="2066"/>
        <w:gridCol w:w="1056"/>
        <w:gridCol w:w="1293"/>
        <w:gridCol w:w="1293"/>
        <w:gridCol w:w="1293"/>
        <w:gridCol w:w="1154"/>
      </w:tblGrid>
      <w:tr w:rsidR="005208B8" w:rsidRPr="005B64F1" w14:paraId="3D7FDB29" w14:textId="77777777" w:rsidTr="00410EC7">
        <w:trPr>
          <w:trHeight w:val="8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B5C0D8"/>
          </w:tcPr>
          <w:p w14:paraId="3DA1933B" w14:textId="77777777" w:rsidR="005208B8" w:rsidRPr="005B64F1" w:rsidRDefault="005208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B5C0D8"/>
          </w:tcPr>
          <w:p w14:paraId="7A9A2203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B5C0D8"/>
          </w:tcPr>
          <w:p w14:paraId="0617B64B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</w:tcPr>
          <w:p w14:paraId="56B90F9F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14991F54" w14:textId="7D0EAEC7" w:rsidR="005208B8" w:rsidRPr="005B64F1" w:rsidRDefault="005208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9D13AE">
              <w:rPr>
                <w:rFonts w:cs="Times New Roman"/>
                <w:b/>
                <w:sz w:val="24"/>
                <w:szCs w:val="24"/>
              </w:rPr>
              <w:t>5</w:t>
            </w:r>
            <w:r w:rsidRPr="005B64F1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5153A7D1" w14:textId="2D1134B9" w:rsidR="005208B8" w:rsidRPr="005B64F1" w:rsidRDefault="005208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9D13AE">
              <w:rPr>
                <w:rFonts w:cs="Times New Roman"/>
                <w:b/>
                <w:sz w:val="24"/>
                <w:szCs w:val="24"/>
              </w:rPr>
              <w:t>6</w:t>
            </w:r>
            <w:r w:rsidRPr="005B64F1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1159CFA6" w14:textId="5DDA97AE" w:rsidR="005208B8" w:rsidRPr="005B64F1" w:rsidRDefault="005208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9D13AE">
              <w:rPr>
                <w:rFonts w:cs="Times New Roman"/>
                <w:b/>
                <w:sz w:val="24"/>
                <w:szCs w:val="24"/>
              </w:rPr>
              <w:t>7</w:t>
            </w:r>
            <w:r w:rsidRPr="005B64F1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</w:tr>
      <w:tr w:rsidR="005208B8" w:rsidRPr="005B64F1" w14:paraId="66D3E4F9" w14:textId="77777777" w:rsidTr="00410EC7">
        <w:trPr>
          <w:trHeight w:val="149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</w:tcPr>
          <w:p w14:paraId="6D079526" w14:textId="3C70A7FC" w:rsidR="005208B8" w:rsidRPr="005B64F1" w:rsidRDefault="00410EC7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Podmirenje obveza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14:paraId="56F1CA2A" w14:textId="7021E70F" w:rsidR="005208B8" w:rsidRPr="005B64F1" w:rsidRDefault="00410EC7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EA6DA1">
              <w:rPr>
                <w:rFonts w:cs="Times New Roman"/>
                <w:szCs w:val="20"/>
              </w:rPr>
              <w:t>Veličin</w:t>
            </w:r>
            <w:r>
              <w:rPr>
                <w:rFonts w:cs="Times New Roman"/>
                <w:szCs w:val="20"/>
              </w:rPr>
              <w:t>a</w:t>
            </w:r>
            <w:r w:rsidRPr="00EA6DA1">
              <w:rPr>
                <w:rFonts w:cs="Times New Roman"/>
                <w:szCs w:val="20"/>
              </w:rPr>
              <w:t xml:space="preserve"> objekata škole i doma</w:t>
            </w:r>
            <w:r>
              <w:rPr>
                <w:rFonts w:cs="Times New Roman"/>
                <w:szCs w:val="20"/>
              </w:rPr>
              <w:t xml:space="preserve"> </w:t>
            </w:r>
            <w:r w:rsidRPr="00EA6DA1">
              <w:rPr>
                <w:rFonts w:cs="Times New Roman"/>
                <w:szCs w:val="20"/>
              </w:rPr>
              <w:t>+</w:t>
            </w:r>
            <w:r>
              <w:rPr>
                <w:rFonts w:cs="Times New Roman"/>
                <w:szCs w:val="20"/>
              </w:rPr>
              <w:t xml:space="preserve"> </w:t>
            </w:r>
            <w:r w:rsidRPr="00EA6DA1">
              <w:rPr>
                <w:rFonts w:cs="Times New Roman"/>
                <w:szCs w:val="20"/>
              </w:rPr>
              <w:t>broj učenika i korisnika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14:paraId="14E594BD" w14:textId="77777777" w:rsidR="005208B8" w:rsidRPr="002E16E6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sz w:val="24"/>
                <w:szCs w:val="24"/>
                <w:lang w:val="hr-HR" w:eastAsia="en-US"/>
              </w:rPr>
            </w:pPr>
            <w:r w:rsidRPr="002E16E6">
              <w:rPr>
                <w:rFonts w:eastAsiaTheme="minorHAnsi" w:cs="Times New Roman"/>
                <w:sz w:val="24"/>
                <w:szCs w:val="24"/>
                <w:lang w:val="hr-HR" w:eastAsia="en-US"/>
              </w:rPr>
              <w:t>EUR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14:paraId="4687C437" w14:textId="522E53F6" w:rsidR="005208B8" w:rsidRPr="00410EC7" w:rsidRDefault="00410EC7" w:rsidP="00410EC7">
            <w:pPr>
              <w:pStyle w:val="CellHeader"/>
              <w:spacing w:after="0"/>
              <w:jc w:val="right"/>
              <w:rPr>
                <w:rFonts w:eastAsiaTheme="minorHAnsi" w:cs="Times New Roman"/>
                <w:b/>
                <w:bCs w:val="0"/>
                <w:sz w:val="18"/>
                <w:szCs w:val="18"/>
                <w:lang w:val="hr-HR" w:eastAsia="en-US"/>
              </w:rPr>
            </w:pPr>
            <w:r w:rsidRPr="00410EC7">
              <w:rPr>
                <w:rFonts w:cs="Times New Roman"/>
                <w:bCs w:val="0"/>
                <w:sz w:val="18"/>
                <w:szCs w:val="18"/>
              </w:rPr>
              <w:t>225.787,00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17F5C9A" w14:textId="77777777" w:rsidR="005208B8" w:rsidRPr="00410EC7" w:rsidRDefault="005208B8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</w:p>
          <w:p w14:paraId="69C1F432" w14:textId="036356B6" w:rsidR="005208B8" w:rsidRPr="00410EC7" w:rsidRDefault="00410EC7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410EC7">
              <w:rPr>
                <w:rFonts w:cs="Times New Roman"/>
                <w:bCs/>
                <w:sz w:val="18"/>
                <w:szCs w:val="18"/>
              </w:rPr>
              <w:t>225.787,00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0C205AB" w14:textId="77777777" w:rsidR="005208B8" w:rsidRPr="00410EC7" w:rsidRDefault="005208B8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</w:p>
          <w:p w14:paraId="3E60535A" w14:textId="4EB88B5A" w:rsidR="005208B8" w:rsidRPr="00410EC7" w:rsidRDefault="00410EC7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410EC7">
              <w:rPr>
                <w:rFonts w:cs="Times New Roman"/>
                <w:bCs/>
                <w:sz w:val="18"/>
                <w:szCs w:val="18"/>
              </w:rPr>
              <w:t>225.787,00</w:t>
            </w:r>
          </w:p>
          <w:p w14:paraId="106A828F" w14:textId="77777777" w:rsidR="005208B8" w:rsidRPr="00410EC7" w:rsidRDefault="005208B8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</w:p>
          <w:p w14:paraId="611F59C6" w14:textId="61C0631A" w:rsidR="005208B8" w:rsidRPr="00410EC7" w:rsidRDefault="005208B8" w:rsidP="00410EC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0AC3F91E" w14:textId="77777777" w:rsidR="005208B8" w:rsidRPr="00410EC7" w:rsidRDefault="005208B8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</w:p>
          <w:p w14:paraId="1B38B4DD" w14:textId="51B8C8FF" w:rsidR="005208B8" w:rsidRPr="00410EC7" w:rsidRDefault="00410EC7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225.787,00</w:t>
            </w:r>
          </w:p>
          <w:p w14:paraId="697F4844" w14:textId="77777777" w:rsidR="005208B8" w:rsidRPr="00410EC7" w:rsidRDefault="005208B8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</w:p>
          <w:p w14:paraId="53044B91" w14:textId="06DF649C" w:rsidR="005208B8" w:rsidRPr="00410EC7" w:rsidRDefault="005208B8" w:rsidP="00410EC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06E8DD08" w14:textId="77777777" w:rsidR="00983588" w:rsidRDefault="00983588" w:rsidP="0082227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D7CC62" w14:textId="032FCEC8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NAZIV PROGRAMA:</w:t>
      </w:r>
      <w:r>
        <w:rPr>
          <w:rFonts w:ascii="Times New Roman" w:hAnsi="Times New Roman" w:cs="Times New Roman"/>
          <w:b/>
          <w:sz w:val="24"/>
          <w:szCs w:val="24"/>
        </w:rPr>
        <w:t xml:space="preserve"> Srednjoškolsko obrazovanje – iznad standarada</w:t>
      </w:r>
    </w:p>
    <w:p w14:paraId="3DC88F43" w14:textId="77777777" w:rsidR="000A3DB8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1D676FF6" w14:textId="2BCCA43E" w:rsidR="000A3DB8" w:rsidRPr="009658B8" w:rsidRDefault="000A3DB8" w:rsidP="000A3DB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Planirana su sredstva u iznosu 69.795,00 eur, koja će se utrošiti na  </w:t>
      </w:r>
      <w:r w:rsidR="001E06F8">
        <w:rPr>
          <w:rFonts w:ascii="Times New Roman" w:hAnsi="Times New Roman" w:cs="Times New Roman"/>
          <w:bCs/>
          <w:sz w:val="24"/>
          <w:szCs w:val="24"/>
        </w:rPr>
        <w:t xml:space="preserve">županijska natjecanja, kulturne i javne djelatnosti škole, sufinanciranje eTehničara, financiranje redovne djelatnosti, sufinanciranje nabave knjižnične građe, financiranje projekta ˝Pomoćnici u nastavi faza VII˝ te projekt Erasmus+GastroTurizam. </w:t>
      </w:r>
    </w:p>
    <w:p w14:paraId="243F02CA" w14:textId="2897C5A8" w:rsidR="000A3DB8" w:rsidRDefault="000A3DB8" w:rsidP="000A3DB8">
      <w:pPr>
        <w:rPr>
          <w:rFonts w:ascii="Times New Roman" w:hAnsi="Times New Roman" w:cs="Times New Roman"/>
          <w:sz w:val="24"/>
          <w:szCs w:val="24"/>
        </w:rPr>
      </w:pPr>
      <w:r w:rsidRPr="0051499A">
        <w:rPr>
          <w:rFonts w:ascii="Times New Roman" w:hAnsi="Times New Roman" w:cs="Times New Roman"/>
          <w:sz w:val="24"/>
          <w:szCs w:val="24"/>
        </w:rPr>
        <w:t xml:space="preserve">U sklopu ovog programa planirana </w:t>
      </w:r>
      <w:r w:rsidR="001E06F8">
        <w:rPr>
          <w:rFonts w:ascii="Times New Roman" w:hAnsi="Times New Roman" w:cs="Times New Roman"/>
          <w:sz w:val="24"/>
          <w:szCs w:val="24"/>
        </w:rPr>
        <w:t>su</w:t>
      </w:r>
      <w:r w:rsidRPr="0051499A">
        <w:rPr>
          <w:rFonts w:ascii="Times New Roman" w:hAnsi="Times New Roman" w:cs="Times New Roman"/>
          <w:sz w:val="24"/>
          <w:szCs w:val="24"/>
        </w:rPr>
        <w:t xml:space="preserve"> sljedeć</w:t>
      </w:r>
      <w:r w:rsidR="001E06F8">
        <w:rPr>
          <w:rFonts w:ascii="Times New Roman" w:hAnsi="Times New Roman" w:cs="Times New Roman"/>
          <w:sz w:val="24"/>
          <w:szCs w:val="24"/>
        </w:rPr>
        <w:t>e</w:t>
      </w:r>
      <w:r w:rsidRPr="0051499A">
        <w:rPr>
          <w:rFonts w:ascii="Times New Roman" w:hAnsi="Times New Roman" w:cs="Times New Roman"/>
          <w:sz w:val="24"/>
          <w:szCs w:val="24"/>
        </w:rPr>
        <w:t xml:space="preserve"> aktivnost: </w:t>
      </w:r>
    </w:p>
    <w:p w14:paraId="02242735" w14:textId="77777777" w:rsidR="00804E2E" w:rsidRPr="0051499A" w:rsidRDefault="00804E2E" w:rsidP="00804E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075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Županijska natjecanja</w:t>
      </w:r>
    </w:p>
    <w:p w14:paraId="4000CB16" w14:textId="77777777" w:rsidR="00804E2E" w:rsidRPr="0051499A" w:rsidRDefault="00804E2E" w:rsidP="00804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natjecanjima i smotrama sudjeluju učenici koji se kao pojedinci ili članovi timova ističu znanjem, vještinama i sposobnostima u skladu s programom/pravilima pojedinog područja. Natjecati se mogu redoviti učenici u načelu slobode izbora svakog učenika. </w:t>
      </w:r>
    </w:p>
    <w:p w14:paraId="797BD29F" w14:textId="77777777" w:rsidR="00804E2E" w:rsidRPr="00F528EE" w:rsidRDefault="00804E2E" w:rsidP="00804E2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804E2E" w:rsidRPr="005B64F1" w14:paraId="2B1066F5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1E4C277B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6A936E20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34F4B6AA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804E2E" w:rsidRPr="005B64F1" w14:paraId="10DE2537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2F4A9E9F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B3F687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057ECB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14:paraId="61868EE1" w14:textId="77777777" w:rsidR="00804E2E" w:rsidRDefault="00804E2E" w:rsidP="000A3DB8">
      <w:pPr>
        <w:rPr>
          <w:rFonts w:ascii="Times New Roman" w:hAnsi="Times New Roman" w:cs="Times New Roman"/>
          <w:sz w:val="24"/>
          <w:szCs w:val="24"/>
        </w:rPr>
      </w:pPr>
    </w:p>
    <w:p w14:paraId="205AD1BB" w14:textId="3DDC926D" w:rsidR="000A3DB8" w:rsidRPr="0051499A" w:rsidRDefault="000A3DB8" w:rsidP="000A3D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 w:rsidR="001E06F8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804E2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04E2E">
        <w:rPr>
          <w:rFonts w:ascii="Times New Roman" w:hAnsi="Times New Roman" w:cs="Times New Roman"/>
          <w:b/>
          <w:bCs/>
          <w:sz w:val="24"/>
          <w:szCs w:val="24"/>
        </w:rPr>
        <w:t>Kulturne i javne djelatnosti škola - SŠ</w:t>
      </w:r>
    </w:p>
    <w:p w14:paraId="572CBE4F" w14:textId="31C8315B" w:rsidR="000A3DB8" w:rsidRPr="0051499A" w:rsidRDefault="000A3DB8" w:rsidP="000A3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04E2E">
        <w:rPr>
          <w:rFonts w:ascii="Times New Roman" w:hAnsi="Times New Roman" w:cs="Times New Roman"/>
          <w:sz w:val="24"/>
          <w:szCs w:val="24"/>
        </w:rPr>
        <w:t>a ovoj aktivnosti planirana su sredstva koja će omogućiti da se škola promovira na planiranim  aktivnostima Projektni dan, Dan škole i sličnim važnim datumima koje su škola u Učenički dom odlučili obilježiti</w:t>
      </w:r>
      <w:r w:rsidR="001E06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DD28F" w14:textId="53EFC992" w:rsidR="000A3DB8" w:rsidRPr="00F528EE" w:rsidRDefault="000A3DB8" w:rsidP="000A3DB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0A3DB8" w:rsidRPr="005B64F1" w14:paraId="57B27F5D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5DD3AD6F" w14:textId="77777777" w:rsidR="000A3DB8" w:rsidRPr="005B64F1" w:rsidRDefault="000A3DB8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1CB17456" w14:textId="77777777" w:rsidR="000A3DB8" w:rsidRPr="005B64F1" w:rsidRDefault="000A3DB8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5EC8C821" w14:textId="77777777" w:rsidR="000A3DB8" w:rsidRPr="005B64F1" w:rsidRDefault="000A3DB8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0A3DB8" w:rsidRPr="005B64F1" w14:paraId="46E39979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75CD09C5" w14:textId="68C57BEE" w:rsidR="000A3DB8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1.176,00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FCB57D" w14:textId="46C3CFA8" w:rsidR="000A3DB8" w:rsidRPr="00804E2E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bCs/>
                <w:sz w:val="24"/>
                <w:szCs w:val="24"/>
              </w:rPr>
              <w:t>1.176,00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CB5E0A" w14:textId="10C3E8BA" w:rsidR="000A3DB8" w:rsidRPr="00804E2E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bCs/>
                <w:sz w:val="24"/>
                <w:szCs w:val="24"/>
              </w:rPr>
              <w:t>1.176,00</w:t>
            </w:r>
          </w:p>
        </w:tc>
      </w:tr>
    </w:tbl>
    <w:p w14:paraId="248389C1" w14:textId="47B63524" w:rsidR="000A3DB8" w:rsidRDefault="000A3DB8" w:rsidP="000A3D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B6DD3F" w14:textId="4B2138B9" w:rsidR="00804E2E" w:rsidRPr="0051499A" w:rsidRDefault="00804E2E" w:rsidP="00804E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Sufinanciranje eTehničar u SŠ</w:t>
      </w:r>
    </w:p>
    <w:p w14:paraId="42CFA839" w14:textId="27D4CA02" w:rsidR="00804E2E" w:rsidRPr="00F528EE" w:rsidRDefault="00804E2E" w:rsidP="00804E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sklopu kurikularne reforme škola je dobila opremu CARNRET-a za koju je bilo potrebno osigurati tvrtku za održavanje opreme. Izabrana je tvrtka s kojom j sklopljen ugovor te mjesečna naknada iznosi 159,30 eur. BBŽ je temeljem Odluke o pravima i obvezama škola i osnivača, a sukladno sudjelovanju u drugoj fazi programa ˝e-Škole˝ dužna sufinancirati rad e-Tehničara u školama.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804E2E" w:rsidRPr="005B64F1" w14:paraId="0508882A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33757D7B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3D5BAB4E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00C79E17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804E2E" w:rsidRPr="005B64F1" w14:paraId="5D3B7F3F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335C6264" w14:textId="496E46A3" w:rsidR="00804E2E" w:rsidRPr="00804E2E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bCs/>
                <w:sz w:val="24"/>
                <w:szCs w:val="24"/>
              </w:rPr>
              <w:t>1.950,0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375EF7" w14:textId="76B5B5D9" w:rsidR="00804E2E" w:rsidRPr="00804E2E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bCs/>
                <w:sz w:val="24"/>
                <w:szCs w:val="24"/>
              </w:rPr>
              <w:t>1.950,00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4312F8" w14:textId="78A00AD4" w:rsidR="00804E2E" w:rsidRPr="00804E2E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bCs/>
                <w:sz w:val="24"/>
                <w:szCs w:val="24"/>
              </w:rPr>
              <w:t>1.950,00</w:t>
            </w:r>
          </w:p>
        </w:tc>
      </w:tr>
    </w:tbl>
    <w:p w14:paraId="342175F4" w14:textId="187BC834" w:rsidR="00804E2E" w:rsidRDefault="00804E2E" w:rsidP="000A3D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AC24B" w14:textId="2A783CCC" w:rsidR="00CF3C63" w:rsidRPr="0051499A" w:rsidRDefault="00CF3C63" w:rsidP="00CF3C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301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Osiguranje školskih zagrada SŠ</w:t>
      </w:r>
    </w:p>
    <w:p w14:paraId="6A8C882B" w14:textId="51B1BB33" w:rsidR="00CF3C63" w:rsidRPr="00F528EE" w:rsidRDefault="00CF3C63" w:rsidP="00CF3C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aktivnosti su planirana sredstva za osiguranje školskih zgrada, a obuhvaćaju zgradu škole, sportske dvorane, doma i školske radionice.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CF3C63" w:rsidRPr="005B64F1" w14:paraId="54727EBF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2C50BA0E" w14:textId="77777777" w:rsidR="00CF3C63" w:rsidRPr="005B64F1" w:rsidRDefault="00CF3C6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2FFE7C29" w14:textId="77777777" w:rsidR="00CF3C63" w:rsidRPr="005B64F1" w:rsidRDefault="00CF3C6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50EDF8E6" w14:textId="77777777" w:rsidR="00CF3C63" w:rsidRPr="005B64F1" w:rsidRDefault="00CF3C6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CF3C63" w:rsidRPr="005B64F1" w14:paraId="5253C165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47755481" w14:textId="7FB83606" w:rsidR="00CF3C63" w:rsidRPr="00804E2E" w:rsidRDefault="00CF3C6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3.000,00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37C103" w14:textId="4CA5CDE5" w:rsidR="00CF3C63" w:rsidRPr="00804E2E" w:rsidRDefault="00CF3C6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F47C5D" w14:textId="50E30F39" w:rsidR="00CF3C63" w:rsidRPr="00804E2E" w:rsidRDefault="00CF3C63" w:rsidP="00CF3C63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3.000,00</w:t>
            </w:r>
          </w:p>
        </w:tc>
      </w:tr>
    </w:tbl>
    <w:p w14:paraId="5FBC31AE" w14:textId="77777777" w:rsidR="00CF3C63" w:rsidRPr="005B64F1" w:rsidRDefault="00CF3C63" w:rsidP="000A3D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E192F4" w14:textId="546B14C4" w:rsidR="00653CAE" w:rsidRPr="0051499A" w:rsidRDefault="00653CAE" w:rsidP="00653C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327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Financiranje redovne djelatnosti SŠ (iznad standarda)</w:t>
      </w:r>
    </w:p>
    <w:p w14:paraId="79D86A13" w14:textId="6B86E920" w:rsidR="00653CAE" w:rsidRPr="00653CAE" w:rsidRDefault="00653CAE" w:rsidP="00653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Osnivač je po prvi puta dodjeli sredstva na ovoj aktivnosti, sredstva će biti utrošena na financiranje nastavnog materijala.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653CAE" w:rsidRPr="005B64F1" w14:paraId="6582365D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12830407" w14:textId="77777777" w:rsidR="00653CAE" w:rsidRPr="005B64F1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473E391D" w14:textId="77777777" w:rsidR="00653CAE" w:rsidRPr="005B64F1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3921ECB2" w14:textId="77777777" w:rsidR="00653CAE" w:rsidRPr="005B64F1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653CAE" w:rsidRPr="005B64F1" w14:paraId="5F46373C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4F6C757C" w14:textId="7F8F6237" w:rsidR="00653CAE" w:rsidRPr="00804E2E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1.000,00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E3FEE0" w14:textId="3B858275" w:rsidR="00653CAE" w:rsidRPr="00804E2E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B58F45" w14:textId="42011334" w:rsidR="00653CAE" w:rsidRPr="00804E2E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1.000,00</w:t>
            </w:r>
          </w:p>
        </w:tc>
      </w:tr>
    </w:tbl>
    <w:p w14:paraId="7925204F" w14:textId="77777777" w:rsidR="00653CAE" w:rsidRDefault="00653CAE" w:rsidP="009851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537919" w14:textId="592B9CA4" w:rsidR="00985147" w:rsidRPr="0051499A" w:rsidRDefault="00985147" w:rsidP="009851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181 Sufinanciranje nabave knjižnične građe</w:t>
      </w:r>
    </w:p>
    <w:p w14:paraId="55596B01" w14:textId="2D2D5016" w:rsidR="00985147" w:rsidRPr="00F528EE" w:rsidRDefault="00985147" w:rsidP="009851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sklopu ove aktivnosti osnivač je školama osigurao sredstva za nabavu knjiga za knjižnicu kako bi se osigurao fond za školsku lektiru.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985147" w:rsidRPr="005B64F1" w14:paraId="1943166C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626AE4AC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39D3761F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006762B9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985147" w:rsidRPr="005B64F1" w14:paraId="564C608F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3DBFDE17" w14:textId="40CFC50F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1.646,00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B7EAB0" w14:textId="39D643DE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1.646,00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B30ED2" w14:textId="6184C32C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1.646,00</w:t>
            </w:r>
          </w:p>
        </w:tc>
      </w:tr>
    </w:tbl>
    <w:p w14:paraId="7A07E2F9" w14:textId="77777777" w:rsidR="00985147" w:rsidRDefault="00985147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67280D75" w14:textId="10DB4A3F" w:rsidR="00985147" w:rsidRPr="0051499A" w:rsidRDefault="00985147" w:rsidP="009851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T000191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Pomoćnici u nastavi SŠ faza VII</w:t>
      </w:r>
    </w:p>
    <w:p w14:paraId="0699405D" w14:textId="19A84895" w:rsidR="00985147" w:rsidRPr="00F528EE" w:rsidRDefault="00985147" w:rsidP="009851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bi učenici s poteškoćama mogli pratiti nastavu na kvalitetan način osnivač je za 3 učenika osigurao sredstva za zaposlenje 3 djelatnika kroz projekt Pomoćnik u nastavi</w:t>
      </w:r>
      <w:r w:rsidR="00281E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faza VII koji je započeo u 2025. godini. Zaposlenicima su kroz tri izvora financiranja </w:t>
      </w:r>
      <w:r w:rsidR="00281EC7">
        <w:rPr>
          <w:rFonts w:ascii="Times New Roman" w:hAnsi="Times New Roman" w:cs="Times New Roman"/>
          <w:sz w:val="24"/>
          <w:szCs w:val="24"/>
        </w:rPr>
        <w:t xml:space="preserve">osnivač, državni proračun i fondovi EU osigurana sredstva za plaće, troškove prijevoza ali i ostala materijalna prava (dnevnice, božićnica, uskrsnica,…)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985147" w:rsidRPr="005B64F1" w14:paraId="3EB3A1FA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4046D0C1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77C352F4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1B52487D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985147" w:rsidRPr="005B64F1" w14:paraId="7D8455A1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0C59C100" w14:textId="5399FF0F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52.103,00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4DD3EC" w14:textId="3C9124B2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52.103,00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C7E40B" w14:textId="70DC5FA1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52.103,00</w:t>
            </w:r>
          </w:p>
        </w:tc>
      </w:tr>
    </w:tbl>
    <w:p w14:paraId="319766E7" w14:textId="2444B7D3" w:rsidR="00985147" w:rsidRDefault="00985147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74BCA1B6" w14:textId="77777777" w:rsidR="00007D4B" w:rsidRDefault="00007D4B" w:rsidP="00281E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1E3462" w14:textId="0C09F304" w:rsidR="00281EC7" w:rsidRPr="0051499A" w:rsidRDefault="00281EC7" w:rsidP="00281E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T000202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Erasmus+</w:t>
      </w:r>
      <w:r w:rsidR="000C0FFB">
        <w:rPr>
          <w:rFonts w:ascii="Times New Roman" w:hAnsi="Times New Roman" w:cs="Times New Roman"/>
          <w:b/>
          <w:bCs/>
          <w:sz w:val="24"/>
          <w:szCs w:val="24"/>
        </w:rPr>
        <w:t xml:space="preserve"> GastroTurizam</w:t>
      </w:r>
      <w:r w:rsidR="00CA39F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p w14:paraId="1ACC71F0" w14:textId="17A73369" w:rsidR="00281EC7" w:rsidRDefault="000C0FFB" w:rsidP="0028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aktivnosti su planirana sredstava u okviru projekta Erasmus + . Srednjoj školi ˝August Šenoa˝ Garešnica je u 2025. g. </w:t>
      </w:r>
      <w:r w:rsidR="00CA39FB">
        <w:rPr>
          <w:rFonts w:ascii="Times New Roman" w:hAnsi="Times New Roman" w:cs="Times New Roman"/>
          <w:sz w:val="24"/>
          <w:szCs w:val="24"/>
        </w:rPr>
        <w:t>odobren je projekt</w:t>
      </w:r>
      <w:r>
        <w:rPr>
          <w:rFonts w:ascii="Times New Roman" w:hAnsi="Times New Roman" w:cs="Times New Roman"/>
          <w:sz w:val="24"/>
          <w:szCs w:val="24"/>
        </w:rPr>
        <w:t xml:space="preserve"> za strukovno obrazovanje i osposobljavanja za razdoblje do 2026. g. </w:t>
      </w:r>
      <w:r w:rsidR="00CA39FB">
        <w:rPr>
          <w:rFonts w:ascii="Times New Roman" w:hAnsi="Times New Roman" w:cs="Times New Roman"/>
          <w:sz w:val="24"/>
          <w:szCs w:val="24"/>
        </w:rPr>
        <w:t xml:space="preserve"> – strukovne vještine za budućnost ugostiteljstva u turizmu.</w:t>
      </w:r>
    </w:p>
    <w:p w14:paraId="4C76ACF5" w14:textId="3D9D78E3" w:rsidR="000C0FFB" w:rsidRPr="000C0FFB" w:rsidRDefault="000C0FFB" w:rsidP="0028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učenike škole time se omogućuje obavljanje stručne prakse u inozemstvu, a za strukovne nastavnike mogućnost stručnog usavršavanja. </w:t>
      </w:r>
      <w:r w:rsidR="00653CAE">
        <w:rPr>
          <w:rFonts w:ascii="Times New Roman" w:hAnsi="Times New Roman" w:cs="Times New Roman"/>
          <w:sz w:val="24"/>
          <w:szCs w:val="24"/>
        </w:rPr>
        <w:t xml:space="preserve">Osigurana su vlastit sredstva koja su dodijeljena školi u obliku bespovratnih sredstava Agencije za mobilnost i programe EU.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281EC7" w:rsidRPr="005B64F1" w14:paraId="4D949918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303BD1F7" w14:textId="77777777" w:rsidR="00281EC7" w:rsidRPr="005B64F1" w:rsidRDefault="00281EC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01F2B90A" w14:textId="77777777" w:rsidR="00281EC7" w:rsidRPr="005B64F1" w:rsidRDefault="00281EC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57B172F9" w14:textId="77777777" w:rsidR="00281EC7" w:rsidRPr="005B64F1" w:rsidRDefault="00281EC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281EC7" w:rsidRPr="005B64F1" w14:paraId="2A85FA9D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58C20802" w14:textId="6EE87B98" w:rsidR="00281EC7" w:rsidRPr="00804E2E" w:rsidRDefault="000C0FF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8.820,00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BA09D9" w14:textId="1E014181" w:rsidR="00281EC7" w:rsidRPr="00804E2E" w:rsidRDefault="000C0FF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8.820,00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188A7F" w14:textId="2267B1D3" w:rsidR="00281EC7" w:rsidRPr="00804E2E" w:rsidRDefault="000C0FF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8.820,00</w:t>
            </w:r>
          </w:p>
        </w:tc>
      </w:tr>
    </w:tbl>
    <w:p w14:paraId="7B4CD1EC" w14:textId="77777777" w:rsidR="00281EC7" w:rsidRDefault="00281EC7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65487FF0" w14:textId="046C08D5" w:rsidR="000A3DB8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3F9B8402" w14:textId="02C49C59" w:rsidR="00CA39FB" w:rsidRPr="00CA39FB" w:rsidRDefault="00CA39FB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CA39FB">
        <w:rPr>
          <w:rFonts w:ascii="Times New Roman" w:hAnsi="Times New Roman" w:cs="Times New Roman"/>
          <w:bCs/>
          <w:sz w:val="24"/>
          <w:szCs w:val="24"/>
        </w:rPr>
        <w:t>Održavanje i sudjelovanje na župani</w:t>
      </w:r>
      <w:r>
        <w:rPr>
          <w:rFonts w:ascii="Times New Roman" w:hAnsi="Times New Roman" w:cs="Times New Roman"/>
          <w:bCs/>
          <w:sz w:val="24"/>
          <w:szCs w:val="24"/>
        </w:rPr>
        <w:t>jskim</w:t>
      </w:r>
      <w:r w:rsidRPr="00CA39FB">
        <w:rPr>
          <w:rFonts w:ascii="Times New Roman" w:hAnsi="Times New Roman" w:cs="Times New Roman"/>
          <w:bCs/>
          <w:sz w:val="24"/>
          <w:szCs w:val="24"/>
        </w:rPr>
        <w:t xml:space="preserve"> natjecanjima srednjih škola</w:t>
      </w:r>
      <w:r>
        <w:rPr>
          <w:rFonts w:ascii="Times New Roman" w:hAnsi="Times New Roman" w:cs="Times New Roman"/>
          <w:bCs/>
          <w:sz w:val="24"/>
          <w:szCs w:val="24"/>
        </w:rPr>
        <w:t>, realizacija kulturnih i javnih djelatnosti škola, isplata sredstava eTehničaru za održavanje i</w:t>
      </w:r>
      <w:r w:rsidR="00653CA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opreme, </w:t>
      </w:r>
      <w:r w:rsidR="00653CAE">
        <w:rPr>
          <w:rFonts w:ascii="Times New Roman" w:hAnsi="Times New Roman" w:cs="Times New Roman"/>
          <w:bCs/>
          <w:sz w:val="24"/>
          <w:szCs w:val="24"/>
        </w:rPr>
        <w:t xml:space="preserve">osiguranje školskih zgrada o posljedica nepogoda, olakšati sudjelovanje u nastavi učenicima s poteškoćama kroz projekt Pomoćnik u nastavi, osigurati dovoljan broj lektirne građe školama i realizacija projekta Erasmus+ koji potiče mobilnost i razvija kompetencije učenika i nastavnika. </w:t>
      </w:r>
    </w:p>
    <w:p w14:paraId="07FCFC87" w14:textId="77777777" w:rsidR="000A3DB8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143A4EE6" w14:textId="5B099361" w:rsidR="000A3DB8" w:rsidRPr="00F926D3" w:rsidRDefault="00007D4B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F926D3">
        <w:rPr>
          <w:rFonts w:ascii="Times New Roman" w:hAnsi="Times New Roman" w:cs="Times New Roman"/>
          <w:bCs/>
          <w:sz w:val="24"/>
          <w:szCs w:val="24"/>
        </w:rPr>
        <w:t>Proračun Bjelovarsko – bilogorske županije</w:t>
      </w:r>
    </w:p>
    <w:p w14:paraId="1967CFD9" w14:textId="4FBCE85F" w:rsidR="00007D4B" w:rsidRPr="00F926D3" w:rsidRDefault="00007D4B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F926D3">
        <w:rPr>
          <w:rFonts w:ascii="Times New Roman" w:hAnsi="Times New Roman" w:cs="Times New Roman"/>
          <w:bCs/>
          <w:sz w:val="24"/>
          <w:szCs w:val="24"/>
        </w:rPr>
        <w:t>Odluke i prav</w:t>
      </w:r>
      <w:r w:rsidR="00F926D3" w:rsidRPr="00F926D3">
        <w:rPr>
          <w:rFonts w:ascii="Times New Roman" w:hAnsi="Times New Roman" w:cs="Times New Roman"/>
          <w:bCs/>
          <w:sz w:val="24"/>
          <w:szCs w:val="24"/>
        </w:rPr>
        <w:t>ni akti Župana Bjelovarsko – bilogorske županije</w:t>
      </w:r>
    </w:p>
    <w:p w14:paraId="1D2B74D5" w14:textId="506ABA5F" w:rsidR="00F926D3" w:rsidRDefault="00F926D3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F926D3">
        <w:rPr>
          <w:rFonts w:ascii="Times New Roman" w:hAnsi="Times New Roman" w:cs="Times New Roman"/>
          <w:bCs/>
          <w:sz w:val="24"/>
          <w:szCs w:val="24"/>
        </w:rPr>
        <w:lastRenderedPageBreak/>
        <w:t>Proračun RH</w:t>
      </w:r>
    </w:p>
    <w:p w14:paraId="297CB52B" w14:textId="547E666F" w:rsidR="00F926D3" w:rsidRPr="00F926D3" w:rsidRDefault="00F926D3" w:rsidP="000A3DB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Ugovor o dodjelo bespovratnih sredstava 2025-1-HR01-KA122-VET-000344893</w:t>
      </w:r>
      <w:r w:rsidR="0017482E">
        <w:rPr>
          <w:rFonts w:ascii="Times New Roman" w:hAnsi="Times New Roman" w:cs="Times New Roman"/>
          <w:bCs/>
          <w:sz w:val="24"/>
          <w:szCs w:val="24"/>
        </w:rPr>
        <w:t xml:space="preserve"> Erasmus+</w:t>
      </w:r>
    </w:p>
    <w:p w14:paraId="1BF17BA3" w14:textId="77777777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1A20EAE4" w14:textId="77777777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tbl>
      <w:tblPr>
        <w:tblStyle w:val="StilTablice"/>
        <w:tblW w:w="10343" w:type="dxa"/>
        <w:jc w:val="center"/>
        <w:tblLook w:val="04A0" w:firstRow="1" w:lastRow="0" w:firstColumn="1" w:lastColumn="0" w:noHBand="0" w:noVBand="1"/>
      </w:tblPr>
      <w:tblGrid>
        <w:gridCol w:w="1420"/>
        <w:gridCol w:w="1462"/>
        <w:gridCol w:w="983"/>
        <w:gridCol w:w="1343"/>
        <w:gridCol w:w="1305"/>
        <w:gridCol w:w="1283"/>
        <w:gridCol w:w="1283"/>
        <w:gridCol w:w="1264"/>
      </w:tblGrid>
      <w:tr w:rsidR="000A3DB8" w:rsidRPr="005B64F1" w14:paraId="61C716E0" w14:textId="77777777" w:rsidTr="006F72EA">
        <w:trPr>
          <w:trHeight w:val="354"/>
          <w:jc w:val="center"/>
        </w:trPr>
        <w:tc>
          <w:tcPr>
            <w:tcW w:w="1420" w:type="dxa"/>
            <w:shd w:val="clear" w:color="auto" w:fill="B5C0D8"/>
          </w:tcPr>
          <w:p w14:paraId="7BDFFC06" w14:textId="77777777" w:rsidR="000A3DB8" w:rsidRPr="005B64F1" w:rsidRDefault="000A3D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462" w:type="dxa"/>
            <w:shd w:val="clear" w:color="auto" w:fill="B5C0D8"/>
          </w:tcPr>
          <w:p w14:paraId="5AD47228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83" w:type="dxa"/>
            <w:shd w:val="clear" w:color="auto" w:fill="B5C0D8"/>
          </w:tcPr>
          <w:p w14:paraId="232C4BAA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343" w:type="dxa"/>
            <w:shd w:val="clear" w:color="auto" w:fill="B5C0D8"/>
          </w:tcPr>
          <w:p w14:paraId="755F7825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305" w:type="dxa"/>
            <w:shd w:val="clear" w:color="auto" w:fill="B5C0D8"/>
          </w:tcPr>
          <w:p w14:paraId="6A9116E7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283" w:type="dxa"/>
            <w:shd w:val="clear" w:color="auto" w:fill="B5C0D8"/>
          </w:tcPr>
          <w:p w14:paraId="5B2898AC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(2026.)</w:t>
            </w:r>
          </w:p>
        </w:tc>
        <w:tc>
          <w:tcPr>
            <w:tcW w:w="1283" w:type="dxa"/>
            <w:shd w:val="clear" w:color="auto" w:fill="B5C0D8"/>
          </w:tcPr>
          <w:p w14:paraId="3F75E8E2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(2027.)</w:t>
            </w:r>
          </w:p>
        </w:tc>
        <w:tc>
          <w:tcPr>
            <w:tcW w:w="1264" w:type="dxa"/>
            <w:shd w:val="clear" w:color="auto" w:fill="B5C0D8"/>
          </w:tcPr>
          <w:p w14:paraId="2973FD3F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(2028.)</w:t>
            </w:r>
          </w:p>
        </w:tc>
      </w:tr>
      <w:tr w:rsidR="000A3DB8" w:rsidRPr="005B64F1" w14:paraId="34088377" w14:textId="77777777" w:rsidTr="006F72EA">
        <w:trPr>
          <w:trHeight w:val="451"/>
          <w:jc w:val="center"/>
        </w:trPr>
        <w:tc>
          <w:tcPr>
            <w:tcW w:w="1420" w:type="dxa"/>
          </w:tcPr>
          <w:p w14:paraId="2DC58A09" w14:textId="26738F91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Realizacija svih aktivnosti određenih ugovorima i ostalim pravnim aktima</w:t>
            </w:r>
          </w:p>
        </w:tc>
        <w:tc>
          <w:tcPr>
            <w:tcW w:w="1462" w:type="dxa"/>
          </w:tcPr>
          <w:p w14:paraId="0E4D3C03" w14:textId="527930C4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SŠ ˝August Šenoa˝ Garešnica</w:t>
            </w:r>
          </w:p>
        </w:tc>
        <w:tc>
          <w:tcPr>
            <w:tcW w:w="983" w:type="dxa"/>
          </w:tcPr>
          <w:p w14:paraId="4403F02B" w14:textId="77777777" w:rsidR="000A3DB8" w:rsidRPr="00361B33" w:rsidRDefault="000A3DB8" w:rsidP="006F72EA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szCs w:val="20"/>
              </w:rPr>
              <w:t>EUR</w:t>
            </w:r>
          </w:p>
        </w:tc>
        <w:tc>
          <w:tcPr>
            <w:tcW w:w="1343" w:type="dxa"/>
          </w:tcPr>
          <w:p w14:paraId="66217A7C" w14:textId="5103C1E8" w:rsidR="000A3DB8" w:rsidRPr="00361B33" w:rsidRDefault="00C31A65" w:rsidP="006F72EA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  <w:tc>
          <w:tcPr>
            <w:tcW w:w="1305" w:type="dxa"/>
          </w:tcPr>
          <w:p w14:paraId="2D64D139" w14:textId="73BF91A2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Terminski plan realizacije programa i projekta </w:t>
            </w:r>
          </w:p>
        </w:tc>
        <w:tc>
          <w:tcPr>
            <w:tcW w:w="1283" w:type="dxa"/>
          </w:tcPr>
          <w:p w14:paraId="0FBB39F2" w14:textId="11E89057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  <w:tc>
          <w:tcPr>
            <w:tcW w:w="1283" w:type="dxa"/>
          </w:tcPr>
          <w:p w14:paraId="1CAAC245" w14:textId="4B34CC61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  <w:tc>
          <w:tcPr>
            <w:tcW w:w="1264" w:type="dxa"/>
          </w:tcPr>
          <w:p w14:paraId="5DEBA43C" w14:textId="47F9BA9F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69.795,00</w:t>
            </w:r>
          </w:p>
        </w:tc>
      </w:tr>
    </w:tbl>
    <w:p w14:paraId="45A834C3" w14:textId="77777777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4B836460" w14:textId="77777777" w:rsidR="00CD77E9" w:rsidRDefault="00CD77E9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6745BEE4" w14:textId="77777777" w:rsidR="00CD77E9" w:rsidRDefault="00CD77E9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60FCF015" w14:textId="0AAE998F" w:rsidR="000A3DB8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482E4B1D" w14:textId="5B3005AE" w:rsidR="000A3DB8" w:rsidRPr="00047EDD" w:rsidRDefault="000A3DB8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2E16E6">
        <w:rPr>
          <w:rFonts w:ascii="Times New Roman" w:hAnsi="Times New Roman" w:cs="Times New Roman"/>
          <w:bCs/>
          <w:sz w:val="24"/>
          <w:szCs w:val="24"/>
        </w:rPr>
        <w:t xml:space="preserve">Postignuti su ciljevi u 2025.g.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E16E6">
        <w:rPr>
          <w:rFonts w:ascii="Times New Roman" w:hAnsi="Times New Roman" w:cs="Times New Roman"/>
          <w:bCs/>
          <w:sz w:val="24"/>
          <w:szCs w:val="24"/>
        </w:rPr>
        <w:t>splaćene su plaće za zaposlenike i sve ostale naknade koje im prema</w:t>
      </w:r>
      <w:r>
        <w:rPr>
          <w:rFonts w:ascii="Times New Roman" w:hAnsi="Times New Roman" w:cs="Times New Roman"/>
          <w:bCs/>
          <w:sz w:val="24"/>
          <w:szCs w:val="24"/>
        </w:rPr>
        <w:t xml:space="preserve"> zakonu, kolektivnom i granskom ugovoru pripadaju. Podmirene su sve tekuće obveze vezene uz rad Učeničkog doma i školske dvorane. Primljene su i donacije u obliku nefinancijske imovine za kvalitetniji rad ustanove. Nabavljena je knjižnična građa kao i udžbenici za učenike koji su korisnici ZMN. Nabavljena je oprema za potrebe čišćenja i održavanja i izvršene su usluge soboslikarskih radova na Učeničkom domu.</w:t>
      </w:r>
    </w:p>
    <w:p w14:paraId="33046B28" w14:textId="77777777" w:rsidR="000A3DB8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61D11C52" w14:textId="4F5A6DB8" w:rsidR="000A3DB8" w:rsidRPr="00047EDD" w:rsidRDefault="000A3DB8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2E16E6">
        <w:rPr>
          <w:rFonts w:ascii="Times New Roman" w:hAnsi="Times New Roman" w:cs="Times New Roman"/>
          <w:bCs/>
          <w:sz w:val="24"/>
          <w:szCs w:val="24"/>
        </w:rPr>
        <w:t xml:space="preserve">Odstupanja nema. </w:t>
      </w:r>
    </w:p>
    <w:p w14:paraId="2E3871A6" w14:textId="77777777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485" w:type="dxa"/>
        <w:jc w:val="center"/>
        <w:tblLook w:val="04A0" w:firstRow="1" w:lastRow="0" w:firstColumn="1" w:lastColumn="0" w:noHBand="0" w:noVBand="1"/>
      </w:tblPr>
      <w:tblGrid>
        <w:gridCol w:w="2330"/>
        <w:gridCol w:w="2066"/>
        <w:gridCol w:w="1056"/>
        <w:gridCol w:w="1293"/>
        <w:gridCol w:w="1293"/>
        <w:gridCol w:w="1293"/>
        <w:gridCol w:w="1154"/>
      </w:tblGrid>
      <w:tr w:rsidR="000A3DB8" w:rsidRPr="005B64F1" w14:paraId="655D38E4" w14:textId="77777777" w:rsidTr="006F72EA">
        <w:trPr>
          <w:trHeight w:val="8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B5C0D8"/>
          </w:tcPr>
          <w:p w14:paraId="466CAA72" w14:textId="77777777" w:rsidR="000A3DB8" w:rsidRPr="005B64F1" w:rsidRDefault="000A3D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B5C0D8"/>
          </w:tcPr>
          <w:p w14:paraId="51D3B9A5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B5C0D8"/>
          </w:tcPr>
          <w:p w14:paraId="4285CDCD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</w:tcPr>
          <w:p w14:paraId="223509AA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67C09094" w14:textId="77777777" w:rsidR="000A3DB8" w:rsidRPr="005B64F1" w:rsidRDefault="000A3D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(2026.)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61776517" w14:textId="77777777" w:rsidR="000A3DB8" w:rsidRPr="005B64F1" w:rsidRDefault="000A3D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(2027.)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3C6E0FB4" w14:textId="77777777" w:rsidR="000A3DB8" w:rsidRPr="005B64F1" w:rsidRDefault="000A3D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(2028.)</w:t>
            </w:r>
          </w:p>
        </w:tc>
      </w:tr>
      <w:tr w:rsidR="000A3DB8" w:rsidRPr="005B64F1" w14:paraId="0AC72047" w14:textId="77777777" w:rsidTr="006F72EA">
        <w:trPr>
          <w:trHeight w:val="149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</w:tcPr>
          <w:p w14:paraId="445C6E20" w14:textId="4DC19E5D" w:rsidR="000A3DB8" w:rsidRPr="00361B33" w:rsidRDefault="00C31A65" w:rsidP="006F72EA">
            <w:pPr>
              <w:spacing w:after="0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szCs w:val="20"/>
              </w:rPr>
              <w:t>Realizacija svih aktivnosti određenih ugovorima i ostalim pravnim aktima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14:paraId="28F99FA9" w14:textId="04A5F84F" w:rsidR="000A3DB8" w:rsidRPr="00361B33" w:rsidRDefault="00C31A65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Cs w:val="20"/>
                <w:lang w:val="hr-HR" w:eastAsia="en-US"/>
              </w:rPr>
            </w:pPr>
            <w:r>
              <w:rPr>
                <w:rFonts w:cs="Times New Roman"/>
                <w:szCs w:val="20"/>
              </w:rPr>
              <w:t>SŠ ˝August Šenoa˝ Garešnica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14:paraId="0B6EEEAA" w14:textId="77777777" w:rsidR="000A3DB8" w:rsidRPr="00361B33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szCs w:val="20"/>
                <w:lang w:val="hr-HR" w:eastAsia="en-US"/>
              </w:rPr>
            </w:pPr>
            <w:r w:rsidRPr="00361B33">
              <w:rPr>
                <w:rFonts w:eastAsiaTheme="minorHAnsi" w:cs="Times New Roman"/>
                <w:szCs w:val="20"/>
                <w:lang w:val="hr-HR" w:eastAsia="en-US"/>
              </w:rPr>
              <w:t>EUR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14:paraId="1448C848" w14:textId="121800C8" w:rsidR="000A3DB8" w:rsidRPr="00361B33" w:rsidRDefault="00C31A65" w:rsidP="00CB2E37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Cs w:val="20"/>
                <w:lang w:val="hr-HR" w:eastAsia="en-US"/>
              </w:rPr>
            </w:pPr>
            <w:r>
              <w:rPr>
                <w:rFonts w:cs="Times New Roman"/>
                <w:bCs w:val="0"/>
                <w:szCs w:val="20"/>
              </w:rPr>
              <w:t>69.795,00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7383884" w14:textId="77777777" w:rsidR="000A3DB8" w:rsidRPr="00361B33" w:rsidRDefault="000A3DB8" w:rsidP="00CB2E37">
            <w:pPr>
              <w:spacing w:after="0"/>
              <w:rPr>
                <w:rFonts w:cs="Times New Roman"/>
                <w:bCs/>
                <w:szCs w:val="20"/>
              </w:rPr>
            </w:pPr>
          </w:p>
          <w:p w14:paraId="7FE0EF83" w14:textId="3DE2A5D7" w:rsidR="000A3DB8" w:rsidRPr="00361B33" w:rsidRDefault="00C31A65" w:rsidP="00CB2E37">
            <w:pPr>
              <w:spacing w:after="0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3517ADC" w14:textId="77777777" w:rsidR="000A3DB8" w:rsidRPr="00361B33" w:rsidRDefault="000A3DB8" w:rsidP="00CB2E37">
            <w:pPr>
              <w:spacing w:after="0"/>
              <w:rPr>
                <w:rFonts w:cs="Times New Roman"/>
                <w:bCs/>
                <w:szCs w:val="20"/>
              </w:rPr>
            </w:pPr>
          </w:p>
          <w:p w14:paraId="02BFA07C" w14:textId="2EE66479" w:rsidR="000A3DB8" w:rsidRPr="00361B33" w:rsidRDefault="00C31A65" w:rsidP="00CB2E37">
            <w:pPr>
              <w:spacing w:after="0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0C7C5BDD" w14:textId="77777777" w:rsidR="000A3DB8" w:rsidRPr="00361B33" w:rsidRDefault="000A3DB8" w:rsidP="00CB2E37">
            <w:pPr>
              <w:spacing w:after="0"/>
              <w:rPr>
                <w:rFonts w:cs="Times New Roman"/>
                <w:bCs/>
                <w:szCs w:val="20"/>
              </w:rPr>
            </w:pPr>
          </w:p>
          <w:p w14:paraId="4A2BBB8E" w14:textId="2430A318" w:rsidR="000A3DB8" w:rsidRPr="00361B33" w:rsidRDefault="00C31A65" w:rsidP="00CB2E37">
            <w:pPr>
              <w:spacing w:after="0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</w:tr>
    </w:tbl>
    <w:p w14:paraId="51FEE95A" w14:textId="51D30FC2" w:rsidR="00983588" w:rsidRDefault="00983588" w:rsidP="0098358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1064DD" w14:textId="68DA9B2C" w:rsidR="000A3DB8" w:rsidRDefault="000C32EE" w:rsidP="000A3DB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RAVNATELJ: </w:t>
      </w:r>
    </w:p>
    <w:p w14:paraId="257FC89E" w14:textId="324022E0" w:rsidR="000C32EE" w:rsidRDefault="000C32EE" w:rsidP="000A3DB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6186BE2B" w14:textId="325EE8B9" w:rsidR="000C32EE" w:rsidRPr="000A3DB8" w:rsidRDefault="00047EDD" w:rsidP="000A3DB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</w:t>
      </w:r>
      <w:r w:rsidR="000C32EE">
        <w:rPr>
          <w:rFonts w:ascii="Times New Roman" w:hAnsi="Times New Roman" w:cs="Times New Roman"/>
          <w:bCs/>
          <w:iCs/>
          <w:sz w:val="24"/>
          <w:szCs w:val="24"/>
        </w:rPr>
        <w:t>Goran Krušić, dipl. ing.</w:t>
      </w:r>
      <w:r>
        <w:rPr>
          <w:rFonts w:ascii="Times New Roman" w:hAnsi="Times New Roman" w:cs="Times New Roman"/>
          <w:bCs/>
          <w:iCs/>
          <w:sz w:val="24"/>
          <w:szCs w:val="24"/>
        </w:rPr>
        <w:t>, .r.</w:t>
      </w:r>
    </w:p>
    <w:sectPr w:rsidR="000C32EE" w:rsidRPr="000A3D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3DBFE" w14:textId="77777777" w:rsidR="0031580E" w:rsidRDefault="0031580E" w:rsidP="00F35816">
      <w:pPr>
        <w:spacing w:after="0" w:line="240" w:lineRule="auto"/>
      </w:pPr>
      <w:r>
        <w:separator/>
      </w:r>
    </w:p>
  </w:endnote>
  <w:endnote w:type="continuationSeparator" w:id="0">
    <w:p w14:paraId="7EC7943A" w14:textId="77777777" w:rsidR="0031580E" w:rsidRDefault="0031580E" w:rsidP="00F3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79734"/>
      <w:docPartObj>
        <w:docPartGallery w:val="Page Numbers (Bottom of Page)"/>
        <w:docPartUnique/>
      </w:docPartObj>
    </w:sdtPr>
    <w:sdtEndPr/>
    <w:sdtContent>
      <w:p w14:paraId="0A5899EE" w14:textId="63936E4A" w:rsidR="00970443" w:rsidRDefault="0097044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691">
          <w:rPr>
            <w:noProof/>
          </w:rPr>
          <w:t>2</w:t>
        </w:r>
        <w:r>
          <w:fldChar w:fldCharType="end"/>
        </w:r>
      </w:p>
    </w:sdtContent>
  </w:sdt>
  <w:p w14:paraId="0415ECDF" w14:textId="77777777" w:rsidR="00970443" w:rsidRDefault="009704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DD12D" w14:textId="77777777" w:rsidR="0031580E" w:rsidRDefault="0031580E" w:rsidP="00F35816">
      <w:pPr>
        <w:spacing w:after="0" w:line="240" w:lineRule="auto"/>
      </w:pPr>
      <w:r>
        <w:separator/>
      </w:r>
    </w:p>
  </w:footnote>
  <w:footnote w:type="continuationSeparator" w:id="0">
    <w:p w14:paraId="168E2468" w14:textId="77777777" w:rsidR="0031580E" w:rsidRDefault="0031580E" w:rsidP="00F3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6CCC"/>
    <w:multiLevelType w:val="hybridMultilevel"/>
    <w:tmpl w:val="18F0F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3052"/>
    <w:multiLevelType w:val="hybridMultilevel"/>
    <w:tmpl w:val="BCFECD0C"/>
    <w:lvl w:ilvl="0" w:tplc="0AA48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716E"/>
    <w:multiLevelType w:val="hybridMultilevel"/>
    <w:tmpl w:val="D37247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DC4BB1"/>
    <w:multiLevelType w:val="hybridMultilevel"/>
    <w:tmpl w:val="BACE160A"/>
    <w:lvl w:ilvl="0" w:tplc="88B286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065FA"/>
    <w:multiLevelType w:val="hybridMultilevel"/>
    <w:tmpl w:val="A31A94DC"/>
    <w:lvl w:ilvl="0" w:tplc="0AA48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76EC"/>
    <w:multiLevelType w:val="hybridMultilevel"/>
    <w:tmpl w:val="253CDF42"/>
    <w:lvl w:ilvl="0" w:tplc="0AA485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E45C16"/>
    <w:multiLevelType w:val="hybridMultilevel"/>
    <w:tmpl w:val="D1985274"/>
    <w:lvl w:ilvl="0" w:tplc="F23EC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E2AD3"/>
    <w:multiLevelType w:val="hybridMultilevel"/>
    <w:tmpl w:val="547EB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74FFA"/>
    <w:multiLevelType w:val="hybridMultilevel"/>
    <w:tmpl w:val="4D565EC8"/>
    <w:lvl w:ilvl="0" w:tplc="606EF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27187"/>
    <w:multiLevelType w:val="hybridMultilevel"/>
    <w:tmpl w:val="4EE665C4"/>
    <w:lvl w:ilvl="0" w:tplc="0AA485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4E"/>
    <w:rsid w:val="00004CF5"/>
    <w:rsid w:val="00007D4B"/>
    <w:rsid w:val="00013AFA"/>
    <w:rsid w:val="000149A7"/>
    <w:rsid w:val="000252CE"/>
    <w:rsid w:val="00026F1A"/>
    <w:rsid w:val="00027107"/>
    <w:rsid w:val="00030EBE"/>
    <w:rsid w:val="00047EDD"/>
    <w:rsid w:val="00052930"/>
    <w:rsid w:val="000542C4"/>
    <w:rsid w:val="00055903"/>
    <w:rsid w:val="0006140D"/>
    <w:rsid w:val="0006266E"/>
    <w:rsid w:val="00064E33"/>
    <w:rsid w:val="00071155"/>
    <w:rsid w:val="000772E9"/>
    <w:rsid w:val="00080C26"/>
    <w:rsid w:val="00097936"/>
    <w:rsid w:val="000A0647"/>
    <w:rsid w:val="000A3DB8"/>
    <w:rsid w:val="000A3E97"/>
    <w:rsid w:val="000B0FFE"/>
    <w:rsid w:val="000B4B30"/>
    <w:rsid w:val="000B5722"/>
    <w:rsid w:val="000C0688"/>
    <w:rsid w:val="000C0FFB"/>
    <w:rsid w:val="000C1FB2"/>
    <w:rsid w:val="000C32EE"/>
    <w:rsid w:val="000D22DE"/>
    <w:rsid w:val="000D2318"/>
    <w:rsid w:val="000D2788"/>
    <w:rsid w:val="000D2B4F"/>
    <w:rsid w:val="000D7949"/>
    <w:rsid w:val="000E77E0"/>
    <w:rsid w:val="000F00A5"/>
    <w:rsid w:val="000F6117"/>
    <w:rsid w:val="000F64D6"/>
    <w:rsid w:val="000F6EA0"/>
    <w:rsid w:val="000F7113"/>
    <w:rsid w:val="0010424A"/>
    <w:rsid w:val="0011241D"/>
    <w:rsid w:val="00115194"/>
    <w:rsid w:val="001227EB"/>
    <w:rsid w:val="00137572"/>
    <w:rsid w:val="00141F44"/>
    <w:rsid w:val="00153CD0"/>
    <w:rsid w:val="00160185"/>
    <w:rsid w:val="00160D05"/>
    <w:rsid w:val="001619C3"/>
    <w:rsid w:val="00173FEE"/>
    <w:rsid w:val="0017482E"/>
    <w:rsid w:val="00176987"/>
    <w:rsid w:val="00186107"/>
    <w:rsid w:val="001875BD"/>
    <w:rsid w:val="001918E1"/>
    <w:rsid w:val="00191B13"/>
    <w:rsid w:val="001921B0"/>
    <w:rsid w:val="00194F93"/>
    <w:rsid w:val="001A2234"/>
    <w:rsid w:val="001A23A2"/>
    <w:rsid w:val="001A23E4"/>
    <w:rsid w:val="001A2946"/>
    <w:rsid w:val="001A6D03"/>
    <w:rsid w:val="001D053B"/>
    <w:rsid w:val="001E06F8"/>
    <w:rsid w:val="001F0DB3"/>
    <w:rsid w:val="00200556"/>
    <w:rsid w:val="00216836"/>
    <w:rsid w:val="00222052"/>
    <w:rsid w:val="002257B3"/>
    <w:rsid w:val="002406BC"/>
    <w:rsid w:val="002437F6"/>
    <w:rsid w:val="00252130"/>
    <w:rsid w:val="00253D46"/>
    <w:rsid w:val="00263465"/>
    <w:rsid w:val="002728D3"/>
    <w:rsid w:val="00281ABB"/>
    <w:rsid w:val="00281EC7"/>
    <w:rsid w:val="002853A2"/>
    <w:rsid w:val="00290114"/>
    <w:rsid w:val="00297750"/>
    <w:rsid w:val="002A38B6"/>
    <w:rsid w:val="002A607C"/>
    <w:rsid w:val="002A70BB"/>
    <w:rsid w:val="002B2452"/>
    <w:rsid w:val="002B24FF"/>
    <w:rsid w:val="002B3EF1"/>
    <w:rsid w:val="002B7717"/>
    <w:rsid w:val="002C359D"/>
    <w:rsid w:val="002C3F07"/>
    <w:rsid w:val="002E049D"/>
    <w:rsid w:val="002E16E6"/>
    <w:rsid w:val="002E7C71"/>
    <w:rsid w:val="002F124A"/>
    <w:rsid w:val="00300AE6"/>
    <w:rsid w:val="00301C0A"/>
    <w:rsid w:val="0031580E"/>
    <w:rsid w:val="003351C8"/>
    <w:rsid w:val="0033637C"/>
    <w:rsid w:val="00343440"/>
    <w:rsid w:val="00346897"/>
    <w:rsid w:val="00351FF8"/>
    <w:rsid w:val="00353CDE"/>
    <w:rsid w:val="00361B33"/>
    <w:rsid w:val="00366C2C"/>
    <w:rsid w:val="00371DE3"/>
    <w:rsid w:val="00375A53"/>
    <w:rsid w:val="00383E5F"/>
    <w:rsid w:val="00384D8A"/>
    <w:rsid w:val="00386C61"/>
    <w:rsid w:val="00387A12"/>
    <w:rsid w:val="003A6842"/>
    <w:rsid w:val="003B2613"/>
    <w:rsid w:val="003D2FD1"/>
    <w:rsid w:val="003D7691"/>
    <w:rsid w:val="003D7CBA"/>
    <w:rsid w:val="003E1901"/>
    <w:rsid w:val="003E1ABF"/>
    <w:rsid w:val="00406E89"/>
    <w:rsid w:val="00410EC7"/>
    <w:rsid w:val="004146BA"/>
    <w:rsid w:val="004226E5"/>
    <w:rsid w:val="004307DE"/>
    <w:rsid w:val="00441D4F"/>
    <w:rsid w:val="00473CEE"/>
    <w:rsid w:val="00477755"/>
    <w:rsid w:val="0048521D"/>
    <w:rsid w:val="00486E29"/>
    <w:rsid w:val="00496B68"/>
    <w:rsid w:val="004A1DCE"/>
    <w:rsid w:val="004A1E55"/>
    <w:rsid w:val="004A3EF1"/>
    <w:rsid w:val="004B294C"/>
    <w:rsid w:val="004B3BA6"/>
    <w:rsid w:val="004B43C8"/>
    <w:rsid w:val="004B4813"/>
    <w:rsid w:val="004C0B1D"/>
    <w:rsid w:val="004D13F0"/>
    <w:rsid w:val="004D7979"/>
    <w:rsid w:val="004E715E"/>
    <w:rsid w:val="004F18F8"/>
    <w:rsid w:val="004F418F"/>
    <w:rsid w:val="00502231"/>
    <w:rsid w:val="00503DE9"/>
    <w:rsid w:val="0051002F"/>
    <w:rsid w:val="0051490C"/>
    <w:rsid w:val="0051499A"/>
    <w:rsid w:val="005208B8"/>
    <w:rsid w:val="00521776"/>
    <w:rsid w:val="00525D38"/>
    <w:rsid w:val="00525DD0"/>
    <w:rsid w:val="00535A2F"/>
    <w:rsid w:val="00537DD6"/>
    <w:rsid w:val="00544AD0"/>
    <w:rsid w:val="0054695B"/>
    <w:rsid w:val="0055026E"/>
    <w:rsid w:val="00555F3E"/>
    <w:rsid w:val="00560CFF"/>
    <w:rsid w:val="00564FA6"/>
    <w:rsid w:val="00566DD0"/>
    <w:rsid w:val="00573410"/>
    <w:rsid w:val="00581577"/>
    <w:rsid w:val="00590603"/>
    <w:rsid w:val="005B1D6A"/>
    <w:rsid w:val="005B330E"/>
    <w:rsid w:val="005B64F1"/>
    <w:rsid w:val="005C3CC9"/>
    <w:rsid w:val="005D095E"/>
    <w:rsid w:val="005D5A7F"/>
    <w:rsid w:val="005D7044"/>
    <w:rsid w:val="005E05B6"/>
    <w:rsid w:val="005E3887"/>
    <w:rsid w:val="005E4BC1"/>
    <w:rsid w:val="005F3B24"/>
    <w:rsid w:val="005F434E"/>
    <w:rsid w:val="0061620A"/>
    <w:rsid w:val="00620FB6"/>
    <w:rsid w:val="00623A11"/>
    <w:rsid w:val="00636522"/>
    <w:rsid w:val="00653CAE"/>
    <w:rsid w:val="006546D6"/>
    <w:rsid w:val="00657ABC"/>
    <w:rsid w:val="00664B3D"/>
    <w:rsid w:val="00664F2F"/>
    <w:rsid w:val="00665CEE"/>
    <w:rsid w:val="00675AB0"/>
    <w:rsid w:val="00685D15"/>
    <w:rsid w:val="00687EEF"/>
    <w:rsid w:val="00690B87"/>
    <w:rsid w:val="006A712F"/>
    <w:rsid w:val="006B1B83"/>
    <w:rsid w:val="006B31CC"/>
    <w:rsid w:val="006B76B0"/>
    <w:rsid w:val="006D0962"/>
    <w:rsid w:val="006E6F40"/>
    <w:rsid w:val="006F5B9C"/>
    <w:rsid w:val="006F6B9D"/>
    <w:rsid w:val="00707BE5"/>
    <w:rsid w:val="00715502"/>
    <w:rsid w:val="00715F01"/>
    <w:rsid w:val="00722DBA"/>
    <w:rsid w:val="00737DE9"/>
    <w:rsid w:val="00740F87"/>
    <w:rsid w:val="00745416"/>
    <w:rsid w:val="0075529E"/>
    <w:rsid w:val="00757BFF"/>
    <w:rsid w:val="0076339C"/>
    <w:rsid w:val="0077095F"/>
    <w:rsid w:val="00780A6B"/>
    <w:rsid w:val="007A5447"/>
    <w:rsid w:val="007A66D4"/>
    <w:rsid w:val="007B6EE2"/>
    <w:rsid w:val="007C231D"/>
    <w:rsid w:val="007D44D1"/>
    <w:rsid w:val="007D45AC"/>
    <w:rsid w:val="007D4F69"/>
    <w:rsid w:val="007E27D8"/>
    <w:rsid w:val="007E2E05"/>
    <w:rsid w:val="007E63E0"/>
    <w:rsid w:val="007E7629"/>
    <w:rsid w:val="00802808"/>
    <w:rsid w:val="00803BF5"/>
    <w:rsid w:val="00804B8F"/>
    <w:rsid w:val="00804E2E"/>
    <w:rsid w:val="0082227F"/>
    <w:rsid w:val="0082290B"/>
    <w:rsid w:val="00824344"/>
    <w:rsid w:val="00837F91"/>
    <w:rsid w:val="00842430"/>
    <w:rsid w:val="00842E28"/>
    <w:rsid w:val="00846404"/>
    <w:rsid w:val="0085325A"/>
    <w:rsid w:val="00860037"/>
    <w:rsid w:val="00863387"/>
    <w:rsid w:val="00865DC6"/>
    <w:rsid w:val="00872408"/>
    <w:rsid w:val="00877DBA"/>
    <w:rsid w:val="00882F6C"/>
    <w:rsid w:val="0088505C"/>
    <w:rsid w:val="0088725E"/>
    <w:rsid w:val="008A67E2"/>
    <w:rsid w:val="008B06C7"/>
    <w:rsid w:val="008B3576"/>
    <w:rsid w:val="008E03E9"/>
    <w:rsid w:val="009045FF"/>
    <w:rsid w:val="00914C46"/>
    <w:rsid w:val="009159B6"/>
    <w:rsid w:val="0091767A"/>
    <w:rsid w:val="009177BB"/>
    <w:rsid w:val="00922047"/>
    <w:rsid w:val="00930FFB"/>
    <w:rsid w:val="00940962"/>
    <w:rsid w:val="00957DF7"/>
    <w:rsid w:val="009643B6"/>
    <w:rsid w:val="0096482D"/>
    <w:rsid w:val="009658B8"/>
    <w:rsid w:val="00970443"/>
    <w:rsid w:val="00971F95"/>
    <w:rsid w:val="009724DE"/>
    <w:rsid w:val="00983588"/>
    <w:rsid w:val="00985147"/>
    <w:rsid w:val="00996756"/>
    <w:rsid w:val="009A336A"/>
    <w:rsid w:val="009B2705"/>
    <w:rsid w:val="009B7991"/>
    <w:rsid w:val="009C3356"/>
    <w:rsid w:val="009D13AE"/>
    <w:rsid w:val="009D7E59"/>
    <w:rsid w:val="009E2FBB"/>
    <w:rsid w:val="009E3EC1"/>
    <w:rsid w:val="009E7781"/>
    <w:rsid w:val="009F0EB5"/>
    <w:rsid w:val="009F173A"/>
    <w:rsid w:val="009F4A3D"/>
    <w:rsid w:val="00A00C9B"/>
    <w:rsid w:val="00A2647F"/>
    <w:rsid w:val="00A3633C"/>
    <w:rsid w:val="00A536F9"/>
    <w:rsid w:val="00A7056F"/>
    <w:rsid w:val="00A80CEB"/>
    <w:rsid w:val="00A836A5"/>
    <w:rsid w:val="00A87DBE"/>
    <w:rsid w:val="00AA5E97"/>
    <w:rsid w:val="00AB59F0"/>
    <w:rsid w:val="00AB60F7"/>
    <w:rsid w:val="00AB670E"/>
    <w:rsid w:val="00AD0413"/>
    <w:rsid w:val="00AD2101"/>
    <w:rsid w:val="00AD3415"/>
    <w:rsid w:val="00AD4C0D"/>
    <w:rsid w:val="00AD5F0A"/>
    <w:rsid w:val="00AD604E"/>
    <w:rsid w:val="00AE0258"/>
    <w:rsid w:val="00AE1B9E"/>
    <w:rsid w:val="00AE327B"/>
    <w:rsid w:val="00AE761D"/>
    <w:rsid w:val="00AF3AD7"/>
    <w:rsid w:val="00B0166A"/>
    <w:rsid w:val="00B055C7"/>
    <w:rsid w:val="00B11A4B"/>
    <w:rsid w:val="00B1652A"/>
    <w:rsid w:val="00B21FA9"/>
    <w:rsid w:val="00B23B6A"/>
    <w:rsid w:val="00B32DA2"/>
    <w:rsid w:val="00B5077A"/>
    <w:rsid w:val="00B50EBA"/>
    <w:rsid w:val="00B62EE7"/>
    <w:rsid w:val="00B67B81"/>
    <w:rsid w:val="00B964A5"/>
    <w:rsid w:val="00BA5372"/>
    <w:rsid w:val="00BB508F"/>
    <w:rsid w:val="00BD4396"/>
    <w:rsid w:val="00BE4469"/>
    <w:rsid w:val="00BE4B6C"/>
    <w:rsid w:val="00BF5875"/>
    <w:rsid w:val="00C1341B"/>
    <w:rsid w:val="00C31A65"/>
    <w:rsid w:val="00C34016"/>
    <w:rsid w:val="00C3781C"/>
    <w:rsid w:val="00C43B5D"/>
    <w:rsid w:val="00C460E2"/>
    <w:rsid w:val="00C46973"/>
    <w:rsid w:val="00C67D5F"/>
    <w:rsid w:val="00C7692E"/>
    <w:rsid w:val="00C8281E"/>
    <w:rsid w:val="00C8686D"/>
    <w:rsid w:val="00C876F3"/>
    <w:rsid w:val="00C9321F"/>
    <w:rsid w:val="00CA39FB"/>
    <w:rsid w:val="00CA4BDA"/>
    <w:rsid w:val="00CB1E1C"/>
    <w:rsid w:val="00CB2E37"/>
    <w:rsid w:val="00CC2C95"/>
    <w:rsid w:val="00CD2179"/>
    <w:rsid w:val="00CD77E9"/>
    <w:rsid w:val="00CF3C63"/>
    <w:rsid w:val="00CF7118"/>
    <w:rsid w:val="00CF71DF"/>
    <w:rsid w:val="00D07262"/>
    <w:rsid w:val="00D1276E"/>
    <w:rsid w:val="00D13671"/>
    <w:rsid w:val="00D14ADE"/>
    <w:rsid w:val="00D17703"/>
    <w:rsid w:val="00D27E17"/>
    <w:rsid w:val="00D3515D"/>
    <w:rsid w:val="00D43186"/>
    <w:rsid w:val="00D509AA"/>
    <w:rsid w:val="00D50E87"/>
    <w:rsid w:val="00D62F71"/>
    <w:rsid w:val="00D637AA"/>
    <w:rsid w:val="00D65325"/>
    <w:rsid w:val="00D7123D"/>
    <w:rsid w:val="00D74BC1"/>
    <w:rsid w:val="00D80987"/>
    <w:rsid w:val="00D87C46"/>
    <w:rsid w:val="00D93957"/>
    <w:rsid w:val="00D93B14"/>
    <w:rsid w:val="00DA5A94"/>
    <w:rsid w:val="00DC34A0"/>
    <w:rsid w:val="00DC443C"/>
    <w:rsid w:val="00DD0C9F"/>
    <w:rsid w:val="00DD4714"/>
    <w:rsid w:val="00DD70F0"/>
    <w:rsid w:val="00DE00CE"/>
    <w:rsid w:val="00DE1582"/>
    <w:rsid w:val="00DE321C"/>
    <w:rsid w:val="00DE5556"/>
    <w:rsid w:val="00DF1375"/>
    <w:rsid w:val="00DF20F4"/>
    <w:rsid w:val="00DF25CE"/>
    <w:rsid w:val="00E12F9D"/>
    <w:rsid w:val="00E144E3"/>
    <w:rsid w:val="00E164A8"/>
    <w:rsid w:val="00E223B6"/>
    <w:rsid w:val="00E22A55"/>
    <w:rsid w:val="00E305DF"/>
    <w:rsid w:val="00E36F58"/>
    <w:rsid w:val="00E438A1"/>
    <w:rsid w:val="00E50A24"/>
    <w:rsid w:val="00E50F88"/>
    <w:rsid w:val="00E52989"/>
    <w:rsid w:val="00E52A9B"/>
    <w:rsid w:val="00E562DF"/>
    <w:rsid w:val="00E603CF"/>
    <w:rsid w:val="00E75B08"/>
    <w:rsid w:val="00E80AA1"/>
    <w:rsid w:val="00E83A5C"/>
    <w:rsid w:val="00EA0FE3"/>
    <w:rsid w:val="00EA208A"/>
    <w:rsid w:val="00EA51BF"/>
    <w:rsid w:val="00EA6DA1"/>
    <w:rsid w:val="00EA7820"/>
    <w:rsid w:val="00EB12FA"/>
    <w:rsid w:val="00EB65CB"/>
    <w:rsid w:val="00EC102D"/>
    <w:rsid w:val="00EC6E04"/>
    <w:rsid w:val="00EC74D0"/>
    <w:rsid w:val="00ED1204"/>
    <w:rsid w:val="00ED79B5"/>
    <w:rsid w:val="00EE55E2"/>
    <w:rsid w:val="00EF1234"/>
    <w:rsid w:val="00EF5E95"/>
    <w:rsid w:val="00F000C7"/>
    <w:rsid w:val="00F11DB4"/>
    <w:rsid w:val="00F13C2F"/>
    <w:rsid w:val="00F1453A"/>
    <w:rsid w:val="00F17B49"/>
    <w:rsid w:val="00F21AF7"/>
    <w:rsid w:val="00F35816"/>
    <w:rsid w:val="00F35CBA"/>
    <w:rsid w:val="00F528EE"/>
    <w:rsid w:val="00F54E7A"/>
    <w:rsid w:val="00F706BF"/>
    <w:rsid w:val="00F80CF6"/>
    <w:rsid w:val="00F8682A"/>
    <w:rsid w:val="00F90D85"/>
    <w:rsid w:val="00F926D3"/>
    <w:rsid w:val="00F93938"/>
    <w:rsid w:val="00FA1A7D"/>
    <w:rsid w:val="00FA41FB"/>
    <w:rsid w:val="00FA5D2E"/>
    <w:rsid w:val="00FC5592"/>
    <w:rsid w:val="00FD3E7E"/>
    <w:rsid w:val="00FD70A8"/>
    <w:rsid w:val="00FE1035"/>
    <w:rsid w:val="00FE3713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0FC0"/>
  <w15:chartTrackingRefBased/>
  <w15:docId w15:val="{C2E0FC19-DACF-4424-8AAC-22AFF77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27E17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E1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"/>
    <w:rsid w:val="00D27E17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5E4BC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5E4BC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Odlomakpopisa">
    <w:name w:val="List Paragraph"/>
    <w:basedOn w:val="Normal"/>
    <w:uiPriority w:val="34"/>
    <w:qFormat/>
    <w:rsid w:val="00560CF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5816"/>
  </w:style>
  <w:style w:type="paragraph" w:styleId="Podnoje">
    <w:name w:val="footer"/>
    <w:basedOn w:val="Normal"/>
    <w:link w:val="PodnojeChar"/>
    <w:uiPriority w:val="99"/>
    <w:unhideWhenUsed/>
    <w:rsid w:val="00F3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5816"/>
  </w:style>
  <w:style w:type="paragraph" w:styleId="Tekstbalonia">
    <w:name w:val="Balloon Text"/>
    <w:basedOn w:val="Normal"/>
    <w:link w:val="TekstbaloniaChar"/>
    <w:uiPriority w:val="99"/>
    <w:semiHidden/>
    <w:unhideWhenUsed/>
    <w:rsid w:val="002A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0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7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99"/>
    <w:qFormat/>
    <w:rsid w:val="00EF123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40043-B397-4C54-ABA2-F353D64F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3577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Feher</dc:creator>
  <cp:keywords/>
  <dc:description/>
  <cp:lastModifiedBy>Marge</cp:lastModifiedBy>
  <cp:revision>2</cp:revision>
  <cp:lastPrinted>2025-10-15T11:21:00Z</cp:lastPrinted>
  <dcterms:created xsi:type="dcterms:W3CDTF">2026-01-09T09:02:00Z</dcterms:created>
  <dcterms:modified xsi:type="dcterms:W3CDTF">2026-01-09T09:02:00Z</dcterms:modified>
</cp:coreProperties>
</file>