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0806E" w14:textId="77777777" w:rsidR="00542E15" w:rsidRPr="00694486" w:rsidRDefault="00542E15" w:rsidP="00542E15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694486">
        <w:rPr>
          <w:rFonts w:ascii="Times New Roman" w:hAnsi="Times New Roman"/>
          <w:b/>
          <w:bCs/>
          <w:sz w:val="22"/>
          <w:szCs w:val="22"/>
        </w:rPr>
        <w:t>SS ˝AUGUST ŠENOA˝ GAREŠNICA</w:t>
      </w:r>
    </w:p>
    <w:p w14:paraId="239BE2B1" w14:textId="77777777" w:rsidR="00542E15" w:rsidRPr="00694486" w:rsidRDefault="00542E15" w:rsidP="00542E15">
      <w:pPr>
        <w:rPr>
          <w:rFonts w:ascii="Times New Roman" w:hAnsi="Times New Roman"/>
          <w:sz w:val="22"/>
          <w:szCs w:val="22"/>
        </w:rPr>
      </w:pPr>
      <w:r w:rsidRPr="00694486">
        <w:rPr>
          <w:rFonts w:ascii="Times New Roman" w:hAnsi="Times New Roman"/>
          <w:sz w:val="22"/>
          <w:szCs w:val="22"/>
        </w:rPr>
        <w:t xml:space="preserve">BJELOVARSKO-BILOGORSKA ŽUPANIJA                </w:t>
      </w:r>
      <w:r w:rsidR="001A3F58">
        <w:rPr>
          <w:rFonts w:ascii="Times New Roman" w:hAnsi="Times New Roman"/>
          <w:sz w:val="22"/>
          <w:szCs w:val="22"/>
        </w:rPr>
        <w:t xml:space="preserve">                                                                          </w:t>
      </w:r>
      <w:r w:rsidRPr="00694486">
        <w:rPr>
          <w:rFonts w:ascii="Times New Roman" w:hAnsi="Times New Roman"/>
          <w:sz w:val="22"/>
          <w:szCs w:val="22"/>
        </w:rPr>
        <w:t xml:space="preserve">    </w:t>
      </w:r>
      <w:r w:rsidR="001A3F58">
        <w:rPr>
          <w:rFonts w:ascii="Times New Roman" w:hAnsi="Times New Roman"/>
          <w:sz w:val="22"/>
          <w:szCs w:val="22"/>
        </w:rPr>
        <w:t xml:space="preserve">                                      </w:t>
      </w:r>
      <w:r w:rsidRPr="00694486">
        <w:rPr>
          <w:rFonts w:ascii="Times New Roman" w:hAnsi="Times New Roman"/>
          <w:sz w:val="22"/>
          <w:szCs w:val="22"/>
        </w:rPr>
        <w:t xml:space="preserve">     </w:t>
      </w:r>
      <w:r w:rsidR="004A3C6E">
        <w:rPr>
          <w:rFonts w:ascii="Times New Roman" w:hAnsi="Times New Roman"/>
          <w:sz w:val="22"/>
          <w:szCs w:val="22"/>
        </w:rPr>
        <w:t xml:space="preserve"> </w:t>
      </w:r>
      <w:r w:rsidRPr="00694486">
        <w:rPr>
          <w:rFonts w:ascii="Times New Roman" w:hAnsi="Times New Roman"/>
          <w:sz w:val="22"/>
          <w:szCs w:val="22"/>
        </w:rPr>
        <w:t>RKP: 18872</w:t>
      </w:r>
    </w:p>
    <w:p w14:paraId="2E5454E7" w14:textId="77777777" w:rsidR="00542E15" w:rsidRPr="00694486" w:rsidRDefault="00542E15" w:rsidP="00542E15">
      <w:pPr>
        <w:rPr>
          <w:rFonts w:ascii="Times New Roman" w:hAnsi="Times New Roman"/>
          <w:sz w:val="22"/>
          <w:szCs w:val="22"/>
        </w:rPr>
      </w:pPr>
      <w:r w:rsidRPr="00694486">
        <w:rPr>
          <w:rFonts w:ascii="Times New Roman" w:hAnsi="Times New Roman"/>
          <w:sz w:val="22"/>
          <w:szCs w:val="22"/>
        </w:rPr>
        <w:t xml:space="preserve">KOLODVORSKA 6, GAREŠNICA             </w:t>
      </w:r>
      <w:r>
        <w:rPr>
          <w:rFonts w:ascii="Times New Roman" w:hAnsi="Times New Roman"/>
          <w:sz w:val="22"/>
          <w:szCs w:val="22"/>
        </w:rPr>
        <w:t xml:space="preserve">                              </w:t>
      </w:r>
      <w:r w:rsidR="001A3F5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</w:t>
      </w:r>
      <w:r w:rsidRPr="00694486">
        <w:rPr>
          <w:rFonts w:ascii="Times New Roman" w:hAnsi="Times New Roman"/>
          <w:sz w:val="22"/>
          <w:szCs w:val="22"/>
        </w:rPr>
        <w:t>MATIČNI BROJ:</w:t>
      </w:r>
      <w:r w:rsidR="001A3F5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 w:rsidRPr="00694486">
        <w:rPr>
          <w:rFonts w:ascii="Times New Roman" w:hAnsi="Times New Roman"/>
          <w:sz w:val="22"/>
          <w:szCs w:val="22"/>
        </w:rPr>
        <w:t>03035638</w:t>
      </w:r>
    </w:p>
    <w:p w14:paraId="7449E906" w14:textId="77777777" w:rsidR="00542E15" w:rsidRPr="00694486" w:rsidRDefault="004A3C6E" w:rsidP="00542E1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OIB:  4</w:t>
      </w:r>
      <w:r w:rsidR="00542E15" w:rsidRPr="00694486">
        <w:rPr>
          <w:rFonts w:ascii="Times New Roman" w:hAnsi="Times New Roman"/>
          <w:sz w:val="22"/>
          <w:szCs w:val="22"/>
        </w:rPr>
        <w:t>2705283746</w:t>
      </w:r>
    </w:p>
    <w:p w14:paraId="48AE63B3" w14:textId="20D47A3F" w:rsidR="00542E15" w:rsidRPr="00F11F8F" w:rsidRDefault="00542E15" w:rsidP="00542E15">
      <w:pPr>
        <w:rPr>
          <w:rFonts w:ascii="Times New Roman" w:hAnsi="Times New Roman"/>
          <w:sz w:val="22"/>
        </w:rPr>
      </w:pPr>
      <w:r w:rsidRPr="00694486">
        <w:rPr>
          <w:rFonts w:ascii="Times New Roman" w:hAnsi="Times New Roman"/>
          <w:sz w:val="22"/>
        </w:rPr>
        <w:t xml:space="preserve">                                                                    </w:t>
      </w:r>
      <w:r>
        <w:rPr>
          <w:rFonts w:ascii="Times New Roman" w:hAnsi="Times New Roman"/>
          <w:sz w:val="22"/>
        </w:rPr>
        <w:t xml:space="preserve">   </w:t>
      </w:r>
    </w:p>
    <w:p w14:paraId="653393D4" w14:textId="77777777" w:rsidR="00542E15" w:rsidRDefault="000B666F" w:rsidP="00542E15">
      <w:pPr>
        <w:pStyle w:val="Naslov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OBRAZLOŽENJE</w:t>
      </w:r>
    </w:p>
    <w:p w14:paraId="06BB2900" w14:textId="77777777" w:rsidR="00542E15" w:rsidRPr="00542E15" w:rsidRDefault="00542E15" w:rsidP="00542E15"/>
    <w:p w14:paraId="5E63D38B" w14:textId="3387C87A" w:rsidR="00542E15" w:rsidRDefault="00542E15" w:rsidP="00542E1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EF0A8A">
        <w:rPr>
          <w:rFonts w:ascii="Times New Roman" w:hAnsi="Times New Roman"/>
          <w:b/>
        </w:rPr>
        <w:t xml:space="preserve">                             </w:t>
      </w:r>
      <w:r>
        <w:rPr>
          <w:rFonts w:ascii="Times New Roman" w:hAnsi="Times New Roman"/>
          <w:b/>
        </w:rPr>
        <w:t xml:space="preserve"> Izvještaj</w:t>
      </w:r>
      <w:r w:rsidR="000B666F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 o</w:t>
      </w:r>
      <w:r w:rsidR="00C4076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izvršenju financijskog pla</w:t>
      </w:r>
      <w:r w:rsidR="00416454">
        <w:rPr>
          <w:rFonts w:ascii="Times New Roman" w:hAnsi="Times New Roman"/>
          <w:b/>
        </w:rPr>
        <w:t>na za razdoblje 01.01.202</w:t>
      </w:r>
      <w:r w:rsidR="00410A96">
        <w:rPr>
          <w:rFonts w:ascii="Times New Roman" w:hAnsi="Times New Roman"/>
          <w:b/>
        </w:rPr>
        <w:t>5</w:t>
      </w:r>
      <w:r w:rsidR="00416454">
        <w:rPr>
          <w:rFonts w:ascii="Times New Roman" w:hAnsi="Times New Roman"/>
          <w:b/>
        </w:rPr>
        <w:t>. – 30.06.202</w:t>
      </w:r>
      <w:r w:rsidR="00410A96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</w:t>
      </w:r>
    </w:p>
    <w:p w14:paraId="4ADC0C6C" w14:textId="77777777" w:rsidR="00EC5A1D" w:rsidRDefault="00EC5A1D" w:rsidP="00542E15">
      <w:pPr>
        <w:rPr>
          <w:rFonts w:ascii="Times New Roman" w:hAnsi="Times New Roman"/>
          <w:b/>
        </w:rPr>
      </w:pPr>
    </w:p>
    <w:p w14:paraId="36B75FFA" w14:textId="7253AEBD" w:rsidR="00307D7C" w:rsidRDefault="00542E15" w:rsidP="00542E15">
      <w:pPr>
        <w:rPr>
          <w:rFonts w:ascii="Times New Roman" w:hAnsi="Times New Roman"/>
        </w:rPr>
      </w:pPr>
      <w:r>
        <w:rPr>
          <w:rFonts w:ascii="Times New Roman" w:hAnsi="Times New Roman"/>
        </w:rPr>
        <w:t>na temelju čl</w:t>
      </w:r>
      <w:r w:rsidR="007906CE">
        <w:rPr>
          <w:rFonts w:ascii="Times New Roman" w:hAnsi="Times New Roman"/>
        </w:rPr>
        <w:t xml:space="preserve">anka </w:t>
      </w:r>
      <w:r w:rsidR="00116363">
        <w:rPr>
          <w:rFonts w:ascii="Times New Roman" w:hAnsi="Times New Roman"/>
        </w:rPr>
        <w:t>8</w:t>
      </w:r>
      <w:r w:rsidR="007906CE">
        <w:rPr>
          <w:rFonts w:ascii="Times New Roman" w:hAnsi="Times New Roman"/>
        </w:rPr>
        <w:t>6.</w:t>
      </w:r>
      <w:r w:rsidR="00116363">
        <w:rPr>
          <w:rFonts w:ascii="Times New Roman" w:hAnsi="Times New Roman"/>
        </w:rPr>
        <w:t xml:space="preserve"> stavka 3.</w:t>
      </w:r>
      <w:r w:rsidR="007906CE">
        <w:rPr>
          <w:rFonts w:ascii="Times New Roman" w:hAnsi="Times New Roman"/>
        </w:rPr>
        <w:t xml:space="preserve"> Zakona o proračunu (NN 144</w:t>
      </w:r>
      <w:r>
        <w:rPr>
          <w:rFonts w:ascii="Times New Roman" w:hAnsi="Times New Roman"/>
        </w:rPr>
        <w:t>/21),</w:t>
      </w:r>
      <w:r w:rsidR="00116363">
        <w:rPr>
          <w:rFonts w:ascii="Times New Roman" w:hAnsi="Times New Roman"/>
        </w:rPr>
        <w:t xml:space="preserve">članka 52. stavka 7. </w:t>
      </w:r>
      <w:r>
        <w:rPr>
          <w:rFonts w:ascii="Times New Roman" w:hAnsi="Times New Roman"/>
        </w:rPr>
        <w:t xml:space="preserve"> Pravilnika o polugodišnjem i godišnjem izvještaju o izvršenju </w:t>
      </w:r>
      <w:r w:rsidR="00116363">
        <w:rPr>
          <w:rFonts w:ascii="Times New Roman" w:hAnsi="Times New Roman"/>
        </w:rPr>
        <w:t>p</w:t>
      </w:r>
      <w:r>
        <w:rPr>
          <w:rFonts w:ascii="Times New Roman" w:hAnsi="Times New Roman"/>
        </w:rPr>
        <w:t>roračuna</w:t>
      </w:r>
      <w:r w:rsidR="00116363">
        <w:rPr>
          <w:rFonts w:ascii="Times New Roman" w:hAnsi="Times New Roman"/>
        </w:rPr>
        <w:t xml:space="preserve"> i financijskog plana</w:t>
      </w:r>
      <w:r>
        <w:rPr>
          <w:rFonts w:ascii="Times New Roman" w:hAnsi="Times New Roman"/>
        </w:rPr>
        <w:t xml:space="preserve"> (NN</w:t>
      </w:r>
      <w:r w:rsidR="007906CE">
        <w:rPr>
          <w:rFonts w:ascii="Times New Roman" w:hAnsi="Times New Roman"/>
        </w:rPr>
        <w:t xml:space="preserve"> 85/23) i članka 24</w:t>
      </w:r>
      <w:r>
        <w:rPr>
          <w:rFonts w:ascii="Times New Roman" w:hAnsi="Times New Roman"/>
        </w:rPr>
        <w:t xml:space="preserve">. Statuta Srednje škole ˝August Šenoa ˝ Garešnica  </w:t>
      </w:r>
      <w:r w:rsidR="00307D7C">
        <w:rPr>
          <w:rFonts w:ascii="Times New Roman" w:hAnsi="Times New Roman"/>
        </w:rPr>
        <w:t>Škols</w:t>
      </w:r>
      <w:r w:rsidR="00205A4C">
        <w:rPr>
          <w:rFonts w:ascii="Times New Roman" w:hAnsi="Times New Roman"/>
        </w:rPr>
        <w:t>k</w:t>
      </w:r>
      <w:r w:rsidR="00F259A9">
        <w:rPr>
          <w:rFonts w:ascii="Times New Roman" w:hAnsi="Times New Roman"/>
        </w:rPr>
        <w:t xml:space="preserve">i odbor na sjednici održanoj </w:t>
      </w:r>
      <w:r w:rsidR="00946E70">
        <w:rPr>
          <w:rFonts w:ascii="Times New Roman" w:hAnsi="Times New Roman"/>
        </w:rPr>
        <w:t>22</w:t>
      </w:r>
      <w:r w:rsidR="007906CE">
        <w:rPr>
          <w:rFonts w:ascii="Times New Roman" w:hAnsi="Times New Roman"/>
        </w:rPr>
        <w:t>.</w:t>
      </w:r>
      <w:r w:rsidR="00025CA2">
        <w:rPr>
          <w:rFonts w:ascii="Times New Roman" w:hAnsi="Times New Roman"/>
        </w:rPr>
        <w:t>07.202</w:t>
      </w:r>
      <w:r w:rsidR="00116363">
        <w:rPr>
          <w:rFonts w:ascii="Times New Roman" w:hAnsi="Times New Roman"/>
        </w:rPr>
        <w:t>5</w:t>
      </w:r>
      <w:r w:rsidR="00307D7C">
        <w:rPr>
          <w:rFonts w:ascii="Times New Roman" w:hAnsi="Times New Roman"/>
        </w:rPr>
        <w:t>.  donio je Izvještaj o izvršenju financijskog plana za razdoblje 1.1</w:t>
      </w:r>
      <w:r w:rsidR="00416454">
        <w:rPr>
          <w:rFonts w:ascii="Times New Roman" w:hAnsi="Times New Roman"/>
        </w:rPr>
        <w:t>.2</w:t>
      </w:r>
      <w:r w:rsidR="00116363">
        <w:rPr>
          <w:rFonts w:ascii="Times New Roman" w:hAnsi="Times New Roman"/>
        </w:rPr>
        <w:t>5</w:t>
      </w:r>
      <w:r w:rsidR="00416454">
        <w:rPr>
          <w:rFonts w:ascii="Times New Roman" w:hAnsi="Times New Roman"/>
        </w:rPr>
        <w:t>. do 30.6.202</w:t>
      </w:r>
      <w:r w:rsidR="00116363">
        <w:rPr>
          <w:rFonts w:ascii="Times New Roman" w:hAnsi="Times New Roman"/>
        </w:rPr>
        <w:t>5.</w:t>
      </w:r>
    </w:p>
    <w:p w14:paraId="33E9C38D" w14:textId="77777777" w:rsidR="00307D7C" w:rsidRDefault="00307D7C" w:rsidP="00542E15">
      <w:pPr>
        <w:rPr>
          <w:rFonts w:ascii="Times New Roman" w:hAnsi="Times New Roman"/>
        </w:rPr>
      </w:pPr>
      <w:r>
        <w:rPr>
          <w:rFonts w:ascii="Times New Roman" w:hAnsi="Times New Roman"/>
        </w:rPr>
        <w:t>Izvještaj se sa</w:t>
      </w:r>
      <w:r w:rsidR="007906CE">
        <w:rPr>
          <w:rFonts w:ascii="Times New Roman" w:hAnsi="Times New Roman"/>
        </w:rPr>
        <w:t xml:space="preserve">stoji o Općeg dijela proračuna </w:t>
      </w:r>
      <w:r>
        <w:rPr>
          <w:rFonts w:ascii="Times New Roman" w:hAnsi="Times New Roman"/>
        </w:rPr>
        <w:t xml:space="preserve">i  </w:t>
      </w:r>
      <w:r w:rsidR="00E73FEC">
        <w:rPr>
          <w:rFonts w:ascii="Times New Roman" w:hAnsi="Times New Roman"/>
        </w:rPr>
        <w:t>P</w:t>
      </w:r>
      <w:r>
        <w:rPr>
          <w:rFonts w:ascii="Times New Roman" w:hAnsi="Times New Roman"/>
        </w:rPr>
        <w:t>osebnog dijela proračuna (</w:t>
      </w:r>
      <w:r w:rsidR="007906CE">
        <w:rPr>
          <w:rFonts w:ascii="Times New Roman" w:hAnsi="Times New Roman"/>
        </w:rPr>
        <w:t>tablice u privitku).</w:t>
      </w:r>
    </w:p>
    <w:p w14:paraId="29FFC7E0" w14:textId="77777777" w:rsidR="007906CE" w:rsidRDefault="007906CE" w:rsidP="00542E15">
      <w:pPr>
        <w:rPr>
          <w:rFonts w:ascii="Times New Roman" w:hAnsi="Times New Roman"/>
        </w:rPr>
      </w:pPr>
    </w:p>
    <w:p w14:paraId="54A39312" w14:textId="77777777" w:rsidR="007906CE" w:rsidRPr="00350B52" w:rsidRDefault="007906CE" w:rsidP="007906CE">
      <w:pPr>
        <w:jc w:val="center"/>
        <w:rPr>
          <w:rFonts w:ascii="Times New Roman" w:hAnsi="Times New Roman"/>
          <w:b/>
        </w:rPr>
      </w:pPr>
      <w:r w:rsidRPr="00350B52">
        <w:rPr>
          <w:rFonts w:ascii="Times New Roman" w:hAnsi="Times New Roman"/>
          <w:b/>
        </w:rPr>
        <w:t>I  OPĆI  DIO  PRORAČUNA</w:t>
      </w:r>
    </w:p>
    <w:p w14:paraId="224E0A4F" w14:textId="77777777" w:rsidR="001A3F58" w:rsidRDefault="001A3F58" w:rsidP="000B666F">
      <w:pPr>
        <w:jc w:val="both"/>
        <w:rPr>
          <w:rFonts w:ascii="Arial" w:hAnsi="Arial" w:cs="Arial"/>
        </w:rPr>
      </w:pPr>
    </w:p>
    <w:tbl>
      <w:tblPr>
        <w:tblW w:w="15098" w:type="dxa"/>
        <w:jc w:val="center"/>
        <w:tblLook w:val="04A0" w:firstRow="1" w:lastRow="0" w:firstColumn="1" w:lastColumn="0" w:noHBand="0" w:noVBand="1"/>
      </w:tblPr>
      <w:tblGrid>
        <w:gridCol w:w="587"/>
        <w:gridCol w:w="4091"/>
        <w:gridCol w:w="1015"/>
        <w:gridCol w:w="1221"/>
        <w:gridCol w:w="1461"/>
        <w:gridCol w:w="341"/>
        <w:gridCol w:w="1457"/>
        <w:gridCol w:w="482"/>
        <w:gridCol w:w="1819"/>
        <w:gridCol w:w="381"/>
        <w:gridCol w:w="1746"/>
        <w:gridCol w:w="497"/>
      </w:tblGrid>
      <w:tr w:rsidR="00E226B8" w:rsidRPr="00A04666" w14:paraId="18F32FBA" w14:textId="77777777" w:rsidTr="00E03790">
        <w:trPr>
          <w:trHeight w:val="258"/>
          <w:jc w:val="center"/>
        </w:trPr>
        <w:tc>
          <w:tcPr>
            <w:tcW w:w="5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EE3A57" w14:textId="77777777" w:rsidR="00E226B8" w:rsidRPr="00A04666" w:rsidRDefault="00E226B8" w:rsidP="00E22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666">
              <w:rPr>
                <w:rFonts w:ascii="Arial" w:hAnsi="Arial" w:cs="Arial"/>
                <w:b/>
                <w:bCs/>
                <w:sz w:val="20"/>
                <w:szCs w:val="20"/>
              </w:rPr>
              <w:t>SAŽETAK RAČUNA PRIHODA I RASHODA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40D394" w14:textId="77777777" w:rsidR="00E226B8" w:rsidRPr="00A04666" w:rsidRDefault="00E226B8" w:rsidP="00E226B8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0466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01A28A" w14:textId="77777777" w:rsidR="00E226B8" w:rsidRPr="00A04666" w:rsidRDefault="00E226B8" w:rsidP="00E226B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0466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C576CE" w14:textId="77777777" w:rsidR="00E226B8" w:rsidRPr="00A04666" w:rsidRDefault="00E226B8" w:rsidP="00E226B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0466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6B7B40" w14:textId="77777777" w:rsidR="00E226B8" w:rsidRPr="00A04666" w:rsidRDefault="00E226B8" w:rsidP="00E226B8">
            <w:pPr>
              <w:jc w:val="right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r w:rsidRPr="00A04666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642BDB" w14:textId="77777777" w:rsidR="00E226B8" w:rsidRPr="00A04666" w:rsidRDefault="00E226B8" w:rsidP="00E226B8">
            <w:pPr>
              <w:jc w:val="right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r w:rsidRPr="00A04666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F11F8F" w:rsidRPr="009A6088" w14:paraId="1FDF842B" w14:textId="77777777" w:rsidTr="00E03790">
        <w:tblPrEx>
          <w:jc w:val="left"/>
        </w:tblPrEx>
        <w:trPr>
          <w:gridBefore w:val="1"/>
          <w:gridAfter w:val="1"/>
          <w:wBefore w:w="587" w:type="dxa"/>
          <w:wAfter w:w="497" w:type="dxa"/>
          <w:trHeight w:val="616"/>
        </w:trPr>
        <w:tc>
          <w:tcPr>
            <w:tcW w:w="1401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0D1DA" w14:textId="77777777" w:rsidR="00F11F8F" w:rsidRPr="009A6088" w:rsidRDefault="00F11F8F" w:rsidP="00F11F8F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9A608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IZVRŠENJE FINANCIJSKOG PLANA PRORAČUNSKOG KORISNIKA BJELOVARSKO  - BILOGORSKE ŽUPANIJE ZA  2025. GODINU</w:t>
            </w:r>
          </w:p>
        </w:tc>
      </w:tr>
      <w:tr w:rsidR="00F11F8F" w:rsidRPr="009A6088" w14:paraId="53BCD47B" w14:textId="77777777" w:rsidTr="00E03790">
        <w:tblPrEx>
          <w:jc w:val="left"/>
        </w:tblPrEx>
        <w:trPr>
          <w:gridBefore w:val="1"/>
          <w:gridAfter w:val="1"/>
          <w:wBefore w:w="587" w:type="dxa"/>
          <w:wAfter w:w="497" w:type="dxa"/>
          <w:trHeight w:val="218"/>
        </w:trPr>
        <w:tc>
          <w:tcPr>
            <w:tcW w:w="14014" w:type="dxa"/>
            <w:gridSpan w:val="10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35A5" w14:textId="4B4B4BDD" w:rsidR="00F11F8F" w:rsidRPr="009A6088" w:rsidRDefault="00F11F8F" w:rsidP="00F11F8F">
            <w:pPr>
              <w:ind w:firstLineChars="100" w:firstLine="160"/>
              <w:jc w:val="both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A6088">
              <w:rPr>
                <w:rFonts w:ascii="Verdana" w:hAnsi="Verdana" w:cs="Calibri"/>
                <w:color w:val="000000"/>
                <w:sz w:val="16"/>
                <w:szCs w:val="16"/>
              </w:rPr>
              <w:t>I. OPĆI DIO  - SAŽETAK RAČUNA PRIHODA I RASHODA I RAČUNA FINANCIRANJA</w:t>
            </w:r>
          </w:p>
        </w:tc>
      </w:tr>
      <w:tr w:rsidR="00E958CA" w:rsidRPr="009A6088" w14:paraId="3DD8A61F" w14:textId="77777777" w:rsidTr="00E958CA">
        <w:tblPrEx>
          <w:jc w:val="left"/>
        </w:tblPrEx>
        <w:trPr>
          <w:gridBefore w:val="1"/>
          <w:gridAfter w:val="1"/>
          <w:wBefore w:w="587" w:type="dxa"/>
          <w:wAfter w:w="497" w:type="dxa"/>
          <w:trHeight w:val="552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04ED9" w14:textId="77777777" w:rsidR="00F11F8F" w:rsidRPr="009A6088" w:rsidRDefault="00F11F8F" w:rsidP="00F11F8F">
            <w:pPr>
              <w:ind w:firstLineChars="100" w:firstLine="160"/>
              <w:jc w:val="both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A6088">
              <w:rPr>
                <w:rFonts w:ascii="Verdana" w:hAnsi="Verdana" w:cs="Calibri"/>
                <w:color w:val="000000"/>
                <w:sz w:val="16"/>
                <w:szCs w:val="16"/>
              </w:rPr>
              <w:t>Oznaka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D9E57" w14:textId="77777777" w:rsidR="00F11F8F" w:rsidRPr="009A6088" w:rsidRDefault="00F11F8F" w:rsidP="00F11F8F">
            <w:pPr>
              <w:ind w:firstLineChars="100" w:firstLine="120"/>
              <w:jc w:val="both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9A6088">
              <w:rPr>
                <w:rFonts w:ascii="Verdana" w:hAnsi="Verdana" w:cs="Calibri"/>
                <w:color w:val="000000"/>
                <w:sz w:val="12"/>
                <w:szCs w:val="12"/>
              </w:rPr>
              <w:t>Ostvarenje/Izvršenje 01.01.2024.-30.06.2024.(2)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C062B2" w14:textId="77777777" w:rsidR="00F11F8F" w:rsidRPr="009A6088" w:rsidRDefault="00F11F8F" w:rsidP="00E958CA">
            <w:pPr>
              <w:ind w:firstLineChars="100" w:firstLine="160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A6088">
              <w:rPr>
                <w:rFonts w:ascii="Verdana" w:hAnsi="Verdana" w:cs="Calibri"/>
                <w:color w:val="000000"/>
                <w:sz w:val="16"/>
                <w:szCs w:val="16"/>
              </w:rPr>
              <w:t>Izvorni plan 2025. (3)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972081" w14:textId="77777777" w:rsidR="00F11F8F" w:rsidRPr="009A6088" w:rsidRDefault="00F11F8F" w:rsidP="00F11F8F">
            <w:pPr>
              <w:ind w:firstLineChars="100" w:firstLine="120"/>
              <w:jc w:val="both"/>
              <w:rPr>
                <w:rFonts w:ascii="Verdana" w:hAnsi="Verdana" w:cs="Calibri"/>
                <w:color w:val="000000"/>
                <w:sz w:val="12"/>
                <w:szCs w:val="12"/>
              </w:rPr>
            </w:pPr>
            <w:r w:rsidRPr="009A6088">
              <w:rPr>
                <w:rFonts w:ascii="Verdana" w:hAnsi="Verdana" w:cs="Calibri"/>
                <w:color w:val="000000"/>
                <w:sz w:val="12"/>
                <w:szCs w:val="12"/>
              </w:rPr>
              <w:t>Ostvarenje/Izvršenje 01.01.2025-30.06.2025. (4)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6C689" w14:textId="77777777" w:rsidR="00F11F8F" w:rsidRPr="009A6088" w:rsidRDefault="00F11F8F" w:rsidP="00E958CA">
            <w:pPr>
              <w:ind w:firstLineChars="100" w:firstLine="160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A6088">
              <w:rPr>
                <w:rFonts w:ascii="Verdana" w:hAnsi="Verdana" w:cs="Calibri"/>
                <w:color w:val="000000"/>
                <w:sz w:val="16"/>
                <w:szCs w:val="16"/>
              </w:rPr>
              <w:t>Indeks 5=4/2*100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4F29" w14:textId="77777777" w:rsidR="00F11F8F" w:rsidRPr="009A6088" w:rsidRDefault="00F11F8F" w:rsidP="00F11F8F">
            <w:pPr>
              <w:ind w:firstLineChars="100" w:firstLine="160"/>
              <w:jc w:val="both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A6088">
              <w:rPr>
                <w:rFonts w:ascii="Verdana" w:hAnsi="Verdana" w:cs="Calibri"/>
                <w:color w:val="000000"/>
                <w:sz w:val="16"/>
                <w:szCs w:val="16"/>
              </w:rPr>
              <w:t>Indeks 6=4/3*100</w:t>
            </w:r>
          </w:p>
        </w:tc>
      </w:tr>
      <w:tr w:rsidR="00DD32AE" w:rsidRPr="009A6088" w14:paraId="5314F2B1" w14:textId="77777777" w:rsidTr="00E958CA">
        <w:tblPrEx>
          <w:jc w:val="left"/>
        </w:tblPrEx>
        <w:trPr>
          <w:gridBefore w:val="1"/>
          <w:gridAfter w:val="1"/>
          <w:wBefore w:w="587" w:type="dxa"/>
          <w:wAfter w:w="497" w:type="dxa"/>
          <w:trHeight w:val="205"/>
        </w:trPr>
        <w:tc>
          <w:tcPr>
            <w:tcW w:w="4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3B69BF04" w14:textId="77777777" w:rsidR="00F11F8F" w:rsidRPr="009A6088" w:rsidRDefault="00F11F8F" w:rsidP="00F11F8F">
            <w:pPr>
              <w:ind w:firstLineChars="100" w:firstLine="1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A. RAČUN PRIHODA I RASHODA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62D1C86E" w14:textId="22AA4703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250304D8" w14:textId="7972FCE0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7FDDA6FC" w14:textId="4B5C25D2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755C0D8D" w14:textId="2923BA4A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780CBBD" w14:textId="5AAE69EB" w:rsidR="00F11F8F" w:rsidRPr="009A6088" w:rsidRDefault="00F11F8F" w:rsidP="00E958CA">
            <w:pPr>
              <w:ind w:firstLineChars="100" w:firstLine="16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DD32AE" w:rsidRPr="009A6088" w14:paraId="0534D787" w14:textId="77777777" w:rsidTr="00E958CA">
        <w:tblPrEx>
          <w:jc w:val="left"/>
        </w:tblPrEx>
        <w:trPr>
          <w:gridBefore w:val="1"/>
          <w:gridAfter w:val="1"/>
          <w:wBefore w:w="587" w:type="dxa"/>
          <w:wAfter w:w="497" w:type="dxa"/>
          <w:trHeight w:val="20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AF52C1" w14:textId="77777777" w:rsidR="00F11F8F" w:rsidRPr="009A6088" w:rsidRDefault="00F11F8F" w:rsidP="00F11F8F">
            <w:pPr>
              <w:ind w:firstLineChars="100" w:firstLine="1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6 PRIHODI POSLOVANJA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06A9E1" w14:textId="77777777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1.157.856,49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AFE891" w14:textId="77777777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2.492.110,00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79D5A0" w14:textId="77777777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1.247.707,14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051186" w14:textId="77777777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107,76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E1693" w14:textId="77777777" w:rsidR="00F11F8F" w:rsidRPr="009A6088" w:rsidRDefault="00F11F8F" w:rsidP="00E958CA">
            <w:pPr>
              <w:ind w:firstLineChars="100" w:firstLine="16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A6088">
              <w:rPr>
                <w:rFonts w:ascii="Verdana" w:hAnsi="Verdana" w:cs="Calibri"/>
                <w:color w:val="000000"/>
                <w:sz w:val="16"/>
                <w:szCs w:val="16"/>
              </w:rPr>
              <w:t>50,07</w:t>
            </w:r>
          </w:p>
        </w:tc>
      </w:tr>
      <w:tr w:rsidR="00DD32AE" w:rsidRPr="009A6088" w14:paraId="71DC0C69" w14:textId="77777777" w:rsidTr="00E958CA">
        <w:tblPrEx>
          <w:jc w:val="left"/>
        </w:tblPrEx>
        <w:trPr>
          <w:gridBefore w:val="1"/>
          <w:gridAfter w:val="1"/>
          <w:wBefore w:w="587" w:type="dxa"/>
          <w:wAfter w:w="497" w:type="dxa"/>
          <w:trHeight w:val="20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3D0C84" w14:textId="77777777" w:rsidR="00F11F8F" w:rsidRPr="009A6088" w:rsidRDefault="00F11F8F" w:rsidP="00F11F8F">
            <w:pPr>
              <w:ind w:firstLineChars="100" w:firstLine="1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7 PRIHODI OD PRODAJE NEFINANCIJSKE IMOVINE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15FFD0" w14:textId="77777777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49,46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03C2ED" w14:textId="70224FAF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59DB4F" w14:textId="77777777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3F3E0A" w14:textId="77777777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5.054,59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BE565" w14:textId="6F57DB51" w:rsidR="00F11F8F" w:rsidRPr="009A6088" w:rsidRDefault="00F11F8F" w:rsidP="00E958CA">
            <w:pPr>
              <w:ind w:firstLineChars="100" w:firstLine="16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DD32AE" w:rsidRPr="009A6088" w14:paraId="23809138" w14:textId="77777777" w:rsidTr="00E958CA">
        <w:tblPrEx>
          <w:jc w:val="left"/>
        </w:tblPrEx>
        <w:trPr>
          <w:gridBefore w:val="1"/>
          <w:gridAfter w:val="1"/>
          <w:wBefore w:w="587" w:type="dxa"/>
          <w:wAfter w:w="497" w:type="dxa"/>
          <w:trHeight w:val="20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D5053E" w14:textId="77777777" w:rsidR="00F11F8F" w:rsidRPr="009A6088" w:rsidRDefault="00F11F8F" w:rsidP="00F11F8F">
            <w:pPr>
              <w:ind w:firstLineChars="100" w:firstLine="1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36EC86" w14:textId="77777777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1.119.208,18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1C91B8" w14:textId="77777777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2.424.288,00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0F0CCC" w14:textId="77777777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1.363.052,00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6AB67D" w14:textId="77777777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121,79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7C515" w14:textId="77777777" w:rsidR="00F11F8F" w:rsidRPr="009A6088" w:rsidRDefault="00F11F8F" w:rsidP="00E958CA">
            <w:pPr>
              <w:ind w:firstLineChars="100" w:firstLine="16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A6088">
              <w:rPr>
                <w:rFonts w:ascii="Verdana" w:hAnsi="Verdana" w:cs="Calibri"/>
                <w:color w:val="000000"/>
                <w:sz w:val="16"/>
                <w:szCs w:val="16"/>
              </w:rPr>
              <w:t>56,22</w:t>
            </w:r>
          </w:p>
        </w:tc>
      </w:tr>
      <w:tr w:rsidR="00DD32AE" w:rsidRPr="009A6088" w14:paraId="52ADD07B" w14:textId="77777777" w:rsidTr="00E958CA">
        <w:tblPrEx>
          <w:jc w:val="left"/>
        </w:tblPrEx>
        <w:trPr>
          <w:gridBefore w:val="1"/>
          <w:gridAfter w:val="1"/>
          <w:wBefore w:w="587" w:type="dxa"/>
          <w:wAfter w:w="497" w:type="dxa"/>
          <w:trHeight w:val="38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4FDBFA" w14:textId="77777777" w:rsidR="00F11F8F" w:rsidRPr="009A6088" w:rsidRDefault="00F11F8F" w:rsidP="00F11F8F">
            <w:pPr>
              <w:ind w:firstLineChars="100" w:firstLine="1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B6B601" w14:textId="77777777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105.243,99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70EFF9" w14:textId="77777777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61.486,00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B2F25C" w14:textId="77777777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44.857,73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08712A" w14:textId="77777777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42,62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A2583" w14:textId="77777777" w:rsidR="00F11F8F" w:rsidRPr="009A6088" w:rsidRDefault="00F11F8F" w:rsidP="00E958CA">
            <w:pPr>
              <w:ind w:firstLineChars="100" w:firstLine="16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A6088">
              <w:rPr>
                <w:rFonts w:ascii="Verdana" w:hAnsi="Verdana" w:cs="Calibri"/>
                <w:color w:val="000000"/>
                <w:sz w:val="16"/>
                <w:szCs w:val="16"/>
              </w:rPr>
              <w:t>72,96</w:t>
            </w:r>
          </w:p>
        </w:tc>
      </w:tr>
      <w:tr w:rsidR="00DD32AE" w:rsidRPr="009A6088" w14:paraId="4553901D" w14:textId="77777777" w:rsidTr="00E958CA">
        <w:tblPrEx>
          <w:jc w:val="left"/>
        </w:tblPrEx>
        <w:trPr>
          <w:gridBefore w:val="1"/>
          <w:gridAfter w:val="1"/>
          <w:wBefore w:w="587" w:type="dxa"/>
          <w:wAfter w:w="497" w:type="dxa"/>
          <w:trHeight w:val="20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23D9DE" w14:textId="77777777" w:rsidR="00F11F8F" w:rsidRPr="009A6088" w:rsidRDefault="00F11F8F" w:rsidP="00F11F8F">
            <w:pPr>
              <w:ind w:firstLineChars="100" w:firstLine="1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Razlika - višak/manjak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6A1C07" w14:textId="77777777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-66.546,22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C1EE1F" w14:textId="77777777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6.336,00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D8C9DF" w14:textId="77777777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-157.702,59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C522BD" w14:textId="77777777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236,98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28560" w14:textId="77777777" w:rsidR="00F11F8F" w:rsidRPr="009A6088" w:rsidRDefault="00F11F8F" w:rsidP="00E958CA">
            <w:pPr>
              <w:ind w:firstLineChars="100" w:firstLine="16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A6088">
              <w:rPr>
                <w:rFonts w:ascii="Verdana" w:hAnsi="Verdana" w:cs="Calibri"/>
                <w:color w:val="000000"/>
                <w:sz w:val="16"/>
                <w:szCs w:val="16"/>
              </w:rPr>
              <w:t>-2.488,99</w:t>
            </w:r>
          </w:p>
        </w:tc>
      </w:tr>
      <w:tr w:rsidR="00DD32AE" w:rsidRPr="009A6088" w14:paraId="5EFBE3F5" w14:textId="77777777" w:rsidTr="00E958CA">
        <w:tblPrEx>
          <w:jc w:val="left"/>
        </w:tblPrEx>
        <w:trPr>
          <w:gridBefore w:val="1"/>
          <w:gridAfter w:val="1"/>
          <w:wBefore w:w="587" w:type="dxa"/>
          <w:wAfter w:w="497" w:type="dxa"/>
          <w:trHeight w:val="20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31CC7304" w14:textId="77777777" w:rsidR="00F11F8F" w:rsidRPr="009A6088" w:rsidRDefault="00F11F8F" w:rsidP="00F11F8F">
            <w:pPr>
              <w:ind w:firstLineChars="100" w:firstLine="1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B. RAČUN FINANCIRANJA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0B652910" w14:textId="18859E40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42E4FEAA" w14:textId="5914BF69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660A8DE8" w14:textId="0C0007E6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3DF2E86E" w14:textId="783BB37B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ACB9410" w14:textId="256166FA" w:rsidR="00F11F8F" w:rsidRPr="009A6088" w:rsidRDefault="00F11F8F" w:rsidP="00E958CA">
            <w:pPr>
              <w:ind w:firstLineChars="100" w:firstLine="16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DD32AE" w:rsidRPr="009A6088" w14:paraId="6E926F90" w14:textId="77777777" w:rsidTr="00E958CA">
        <w:tblPrEx>
          <w:jc w:val="left"/>
        </w:tblPrEx>
        <w:trPr>
          <w:gridBefore w:val="1"/>
          <w:gridAfter w:val="1"/>
          <w:wBefore w:w="587" w:type="dxa"/>
          <w:wAfter w:w="497" w:type="dxa"/>
          <w:trHeight w:val="38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65060D" w14:textId="77777777" w:rsidR="00F11F8F" w:rsidRPr="009A6088" w:rsidRDefault="00F11F8F" w:rsidP="00F11F8F">
            <w:pPr>
              <w:ind w:firstLineChars="100" w:firstLine="1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A5BE3F" w14:textId="77777777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44.341,08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804017" w14:textId="24B850E0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27AC58" w14:textId="4E0362DD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0B545B" w14:textId="72F488AE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FFD3B" w14:textId="2A2C7798" w:rsidR="00F11F8F" w:rsidRPr="009A6088" w:rsidRDefault="00F11F8F" w:rsidP="00E958CA">
            <w:pPr>
              <w:ind w:firstLineChars="100" w:firstLine="16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DD32AE" w:rsidRPr="009A6088" w14:paraId="562F973A" w14:textId="77777777" w:rsidTr="00E958CA">
        <w:tblPrEx>
          <w:jc w:val="left"/>
        </w:tblPrEx>
        <w:trPr>
          <w:gridBefore w:val="1"/>
          <w:gridAfter w:val="1"/>
          <w:wBefore w:w="587" w:type="dxa"/>
          <w:wAfter w:w="497" w:type="dxa"/>
          <w:trHeight w:val="38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CECAD2" w14:textId="77777777" w:rsidR="00F11F8F" w:rsidRPr="009A6088" w:rsidRDefault="00F11F8F" w:rsidP="00F11F8F">
            <w:pPr>
              <w:ind w:firstLineChars="100" w:firstLine="1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479628" w14:textId="06F4C9C7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585B65" w14:textId="77777777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6.336,00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B6FA86" w14:textId="77777777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3.167,22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B5AF6F" w14:textId="77ED9CAC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81D7A" w14:textId="77777777" w:rsidR="00F11F8F" w:rsidRPr="009A6088" w:rsidRDefault="00F11F8F" w:rsidP="00E958CA">
            <w:pPr>
              <w:ind w:firstLineChars="100" w:firstLine="16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A6088">
              <w:rPr>
                <w:rFonts w:ascii="Verdana" w:hAnsi="Verdana" w:cs="Calibri"/>
                <w:color w:val="000000"/>
                <w:sz w:val="16"/>
                <w:szCs w:val="16"/>
              </w:rPr>
              <w:t>49,99</w:t>
            </w:r>
          </w:p>
        </w:tc>
      </w:tr>
      <w:tr w:rsidR="00DD32AE" w:rsidRPr="009A6088" w14:paraId="4F820898" w14:textId="77777777" w:rsidTr="00E958CA">
        <w:tblPrEx>
          <w:jc w:val="left"/>
        </w:tblPrEx>
        <w:trPr>
          <w:gridBefore w:val="1"/>
          <w:gridAfter w:val="1"/>
          <w:wBefore w:w="587" w:type="dxa"/>
          <w:wAfter w:w="497" w:type="dxa"/>
          <w:trHeight w:val="20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C977F7" w14:textId="77777777" w:rsidR="00F11F8F" w:rsidRPr="009A6088" w:rsidRDefault="00F11F8F" w:rsidP="00F11F8F">
            <w:pPr>
              <w:ind w:firstLineChars="100" w:firstLine="1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Neto - zaduživanje/financiranje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0C2E27" w14:textId="77777777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44.341,08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53458A" w14:textId="77777777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-6.336,00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9FA1E4" w14:textId="77777777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-3.167,22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126ABE" w14:textId="77777777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-7,14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5B65F" w14:textId="77777777" w:rsidR="00F11F8F" w:rsidRPr="009A6088" w:rsidRDefault="00F11F8F" w:rsidP="00E958CA">
            <w:pPr>
              <w:ind w:firstLineChars="100" w:firstLine="16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A6088">
              <w:rPr>
                <w:rFonts w:ascii="Verdana" w:hAnsi="Verdana" w:cs="Calibri"/>
                <w:color w:val="000000"/>
                <w:sz w:val="16"/>
                <w:szCs w:val="16"/>
              </w:rPr>
              <w:t>49,99</w:t>
            </w:r>
          </w:p>
        </w:tc>
      </w:tr>
      <w:tr w:rsidR="00DD32AE" w:rsidRPr="009A6088" w14:paraId="574D0D75" w14:textId="77777777" w:rsidTr="00E958CA">
        <w:tblPrEx>
          <w:jc w:val="left"/>
        </w:tblPrEx>
        <w:trPr>
          <w:gridBefore w:val="1"/>
          <w:gridAfter w:val="1"/>
          <w:wBefore w:w="587" w:type="dxa"/>
          <w:wAfter w:w="497" w:type="dxa"/>
          <w:trHeight w:val="20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4A907DE5" w14:textId="77777777" w:rsidR="00F11F8F" w:rsidRPr="009A6088" w:rsidRDefault="00F11F8F" w:rsidP="00F11F8F">
            <w:pPr>
              <w:ind w:firstLineChars="100" w:firstLine="1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C. PRORAČUN UKUPNO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243A8965" w14:textId="71A07A54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74B59AF1" w14:textId="3481CE7E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7605F2AE" w14:textId="72DB99DA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5D3BE309" w14:textId="6DAA377B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D81CAC7" w14:textId="361F4A1E" w:rsidR="00F11F8F" w:rsidRPr="009A6088" w:rsidRDefault="00F11F8F" w:rsidP="00E958CA">
            <w:pPr>
              <w:ind w:firstLineChars="100" w:firstLine="16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DD32AE" w:rsidRPr="009A6088" w14:paraId="2A11BFE3" w14:textId="77777777" w:rsidTr="00E958CA">
        <w:tblPrEx>
          <w:jc w:val="left"/>
        </w:tblPrEx>
        <w:trPr>
          <w:gridBefore w:val="1"/>
          <w:gridAfter w:val="1"/>
          <w:wBefore w:w="587" w:type="dxa"/>
          <w:wAfter w:w="497" w:type="dxa"/>
          <w:trHeight w:val="20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70AD47"/>
            <w:vAlign w:val="bottom"/>
            <w:hideMark/>
          </w:tcPr>
          <w:p w14:paraId="420A2130" w14:textId="77777777" w:rsidR="00F11F8F" w:rsidRPr="009A6088" w:rsidRDefault="00F11F8F" w:rsidP="00F11F8F">
            <w:pPr>
              <w:ind w:firstLineChars="100" w:firstLine="1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1. PRIHODI I PRIMICI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0AD47"/>
            <w:vAlign w:val="bottom"/>
            <w:hideMark/>
          </w:tcPr>
          <w:p w14:paraId="19A8068E" w14:textId="77777777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1.202.247,03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0AD47"/>
            <w:vAlign w:val="bottom"/>
            <w:hideMark/>
          </w:tcPr>
          <w:p w14:paraId="5E104070" w14:textId="77777777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2.492.110,00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0AD47"/>
            <w:vAlign w:val="bottom"/>
            <w:hideMark/>
          </w:tcPr>
          <w:p w14:paraId="3084F423" w14:textId="77777777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1.250.207,14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0AD47"/>
            <w:vAlign w:val="bottom"/>
            <w:hideMark/>
          </w:tcPr>
          <w:p w14:paraId="7796A852" w14:textId="77777777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103,99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70AD47"/>
            <w:vAlign w:val="bottom"/>
            <w:hideMark/>
          </w:tcPr>
          <w:p w14:paraId="69C4482C" w14:textId="77777777" w:rsidR="00F11F8F" w:rsidRPr="009A6088" w:rsidRDefault="00F11F8F" w:rsidP="00E958CA">
            <w:pPr>
              <w:ind w:firstLineChars="100" w:firstLine="16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A6088">
              <w:rPr>
                <w:rFonts w:ascii="Verdana" w:hAnsi="Verdana" w:cs="Calibri"/>
                <w:color w:val="000000"/>
                <w:sz w:val="16"/>
                <w:szCs w:val="16"/>
              </w:rPr>
              <w:t>50,17</w:t>
            </w:r>
          </w:p>
        </w:tc>
      </w:tr>
      <w:tr w:rsidR="00DD32AE" w:rsidRPr="009A6088" w14:paraId="63750DA6" w14:textId="77777777" w:rsidTr="00E958CA">
        <w:tblPrEx>
          <w:jc w:val="left"/>
        </w:tblPrEx>
        <w:trPr>
          <w:gridBefore w:val="1"/>
          <w:gridAfter w:val="1"/>
          <w:wBefore w:w="587" w:type="dxa"/>
          <w:wAfter w:w="497" w:type="dxa"/>
          <w:trHeight w:val="20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70AD47"/>
            <w:vAlign w:val="bottom"/>
            <w:hideMark/>
          </w:tcPr>
          <w:p w14:paraId="05FB43A1" w14:textId="77777777" w:rsidR="00F11F8F" w:rsidRPr="009A6088" w:rsidRDefault="00F11F8F" w:rsidP="00F11F8F">
            <w:pPr>
              <w:ind w:firstLineChars="100" w:firstLine="1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2. RASHODI I IZDACI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0AD47"/>
            <w:vAlign w:val="bottom"/>
            <w:hideMark/>
          </w:tcPr>
          <w:p w14:paraId="135E3B00" w14:textId="77777777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1.224.452,17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0AD47"/>
            <w:vAlign w:val="bottom"/>
            <w:hideMark/>
          </w:tcPr>
          <w:p w14:paraId="210A3BBB" w14:textId="77777777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2.492.110,00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0AD47"/>
            <w:vAlign w:val="bottom"/>
            <w:hideMark/>
          </w:tcPr>
          <w:p w14:paraId="20A22869" w14:textId="77777777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1.411.076,95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0AD47"/>
            <w:vAlign w:val="bottom"/>
            <w:hideMark/>
          </w:tcPr>
          <w:p w14:paraId="07F515D2" w14:textId="77777777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115,24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70AD47"/>
            <w:vAlign w:val="bottom"/>
            <w:hideMark/>
          </w:tcPr>
          <w:p w14:paraId="6052CC50" w14:textId="77777777" w:rsidR="00F11F8F" w:rsidRPr="009A6088" w:rsidRDefault="00F11F8F" w:rsidP="00E958CA">
            <w:pPr>
              <w:ind w:firstLineChars="100" w:firstLine="16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A6088">
              <w:rPr>
                <w:rFonts w:ascii="Verdana" w:hAnsi="Verdana" w:cs="Calibri"/>
                <w:color w:val="000000"/>
                <w:sz w:val="16"/>
                <w:szCs w:val="16"/>
              </w:rPr>
              <w:t>56,62</w:t>
            </w:r>
          </w:p>
        </w:tc>
      </w:tr>
      <w:tr w:rsidR="00DD32AE" w:rsidRPr="009A6088" w14:paraId="38D988E7" w14:textId="77777777" w:rsidTr="00E958CA">
        <w:tblPrEx>
          <w:jc w:val="left"/>
        </w:tblPrEx>
        <w:trPr>
          <w:gridBefore w:val="1"/>
          <w:gridAfter w:val="1"/>
          <w:wBefore w:w="587" w:type="dxa"/>
          <w:wAfter w:w="497" w:type="dxa"/>
          <w:trHeight w:val="20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70AD47"/>
            <w:vAlign w:val="bottom"/>
            <w:hideMark/>
          </w:tcPr>
          <w:p w14:paraId="1C998B6C" w14:textId="77777777" w:rsidR="00F11F8F" w:rsidRPr="009A6088" w:rsidRDefault="00F11F8F" w:rsidP="00F11F8F">
            <w:pPr>
              <w:ind w:firstLineChars="100" w:firstLine="1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3. RAZLIKA - VIŠAK/MANJAK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0AD47"/>
            <w:vAlign w:val="bottom"/>
            <w:hideMark/>
          </w:tcPr>
          <w:p w14:paraId="49867A36" w14:textId="77777777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-22.205,14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0AD47"/>
            <w:vAlign w:val="bottom"/>
            <w:hideMark/>
          </w:tcPr>
          <w:p w14:paraId="470B4A80" w14:textId="696B320B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0AD47"/>
            <w:vAlign w:val="bottom"/>
            <w:hideMark/>
          </w:tcPr>
          <w:p w14:paraId="1735E506" w14:textId="77777777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-160.869,81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0AD47"/>
            <w:vAlign w:val="bottom"/>
            <w:hideMark/>
          </w:tcPr>
          <w:p w14:paraId="099FC677" w14:textId="77777777" w:rsidR="00F11F8F" w:rsidRPr="009A6088" w:rsidRDefault="00F11F8F" w:rsidP="00E958CA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6088">
              <w:rPr>
                <w:rFonts w:ascii="Arial" w:hAnsi="Arial" w:cs="Arial"/>
                <w:color w:val="000000"/>
                <w:sz w:val="16"/>
                <w:szCs w:val="16"/>
              </w:rPr>
              <w:t>724,47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70AD47"/>
            <w:vAlign w:val="bottom"/>
            <w:hideMark/>
          </w:tcPr>
          <w:p w14:paraId="518D67F2" w14:textId="506BC555" w:rsidR="00F11F8F" w:rsidRPr="009A6088" w:rsidRDefault="00F11F8F" w:rsidP="00E958CA">
            <w:pPr>
              <w:ind w:firstLineChars="100" w:firstLine="16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DD32AE" w:rsidRPr="009A6088" w14:paraId="049B4E17" w14:textId="77777777" w:rsidTr="00E958CA">
        <w:tblPrEx>
          <w:jc w:val="left"/>
        </w:tblPrEx>
        <w:trPr>
          <w:gridBefore w:val="1"/>
          <w:gridAfter w:val="1"/>
          <w:wBefore w:w="587" w:type="dxa"/>
          <w:wAfter w:w="497" w:type="dxa"/>
          <w:trHeight w:val="20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0C65E588" w14:textId="77777777" w:rsidR="00F11F8F" w:rsidRPr="009A6088" w:rsidRDefault="00F11F8F" w:rsidP="00F11F8F">
            <w:pPr>
              <w:ind w:firstLineChars="100" w:firstLine="18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6088">
              <w:rPr>
                <w:rFonts w:ascii="Arial" w:hAnsi="Arial" w:cs="Arial"/>
                <w:color w:val="000000"/>
                <w:sz w:val="18"/>
                <w:szCs w:val="18"/>
              </w:rPr>
              <w:t>VIŠAK/MANJAK PRIHODA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3C233D31" w14:textId="77777777" w:rsidR="00F11F8F" w:rsidRPr="009A6088" w:rsidRDefault="00F11F8F" w:rsidP="00E958CA">
            <w:pPr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6088">
              <w:rPr>
                <w:rFonts w:ascii="Arial" w:hAnsi="Arial" w:cs="Arial"/>
                <w:color w:val="000000"/>
                <w:sz w:val="18"/>
                <w:szCs w:val="18"/>
              </w:rPr>
              <w:t>-22.205,14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2EEF4FC7" w14:textId="517E38F3" w:rsidR="00F11F8F" w:rsidRPr="009A6088" w:rsidRDefault="00F11F8F" w:rsidP="00E958CA">
            <w:pPr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2DD44A01" w14:textId="77777777" w:rsidR="00F11F8F" w:rsidRPr="009A6088" w:rsidRDefault="00F11F8F" w:rsidP="00E958CA">
            <w:pPr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6088">
              <w:rPr>
                <w:rFonts w:ascii="Arial" w:hAnsi="Arial" w:cs="Arial"/>
                <w:color w:val="000000"/>
                <w:sz w:val="18"/>
                <w:szCs w:val="18"/>
              </w:rPr>
              <w:t>-160.869,81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4427D17E" w14:textId="77777777" w:rsidR="00F11F8F" w:rsidRPr="009A6088" w:rsidRDefault="00F11F8F" w:rsidP="00E958CA">
            <w:pPr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6088">
              <w:rPr>
                <w:rFonts w:ascii="Arial" w:hAnsi="Arial" w:cs="Arial"/>
                <w:color w:val="000000"/>
                <w:sz w:val="18"/>
                <w:szCs w:val="18"/>
              </w:rPr>
              <w:t>724,47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69CB367" w14:textId="725BB1C5" w:rsidR="00F11F8F" w:rsidRPr="009A6088" w:rsidRDefault="00F11F8F" w:rsidP="00E958CA">
            <w:pPr>
              <w:ind w:firstLineChars="100" w:firstLine="16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</w:tbl>
    <w:p w14:paraId="47B51061" w14:textId="77777777" w:rsidR="00F11F8F" w:rsidRDefault="00F11F8F" w:rsidP="000B666F">
      <w:pPr>
        <w:jc w:val="both"/>
        <w:rPr>
          <w:rFonts w:ascii="Times New Roman" w:hAnsi="Times New Roman"/>
        </w:rPr>
      </w:pPr>
    </w:p>
    <w:p w14:paraId="46942DEB" w14:textId="7E51B57C" w:rsidR="00025B34" w:rsidRDefault="00025B34" w:rsidP="000B666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Ukupno ostvareni</w:t>
      </w:r>
      <w:r w:rsidR="00656228">
        <w:rPr>
          <w:rFonts w:ascii="Times New Roman" w:hAnsi="Times New Roman"/>
        </w:rPr>
        <w:t xml:space="preserve"> prih</w:t>
      </w:r>
      <w:r w:rsidR="009158CC">
        <w:rPr>
          <w:rFonts w:ascii="Times New Roman" w:hAnsi="Times New Roman"/>
        </w:rPr>
        <w:t>odi</w:t>
      </w:r>
      <w:r w:rsidR="000B666F" w:rsidRPr="000B666F">
        <w:rPr>
          <w:rFonts w:ascii="Times New Roman" w:hAnsi="Times New Roman"/>
        </w:rPr>
        <w:t xml:space="preserve"> </w:t>
      </w:r>
      <w:r w:rsidR="001A3F58">
        <w:rPr>
          <w:rFonts w:ascii="Times New Roman" w:hAnsi="Times New Roman"/>
        </w:rPr>
        <w:t xml:space="preserve">u </w:t>
      </w:r>
      <w:r>
        <w:rPr>
          <w:rFonts w:ascii="Times New Roman" w:hAnsi="Times New Roman"/>
        </w:rPr>
        <w:t>izvještajnom razdoblju iznose 1.</w:t>
      </w:r>
      <w:r w:rsidR="00116363">
        <w:rPr>
          <w:rFonts w:ascii="Times New Roman" w:hAnsi="Times New Roman"/>
        </w:rPr>
        <w:t>250.207,14</w:t>
      </w:r>
      <w:r w:rsidR="001A3F5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eur</w:t>
      </w:r>
      <w:proofErr w:type="spellEnd"/>
      <w:r>
        <w:rPr>
          <w:rFonts w:ascii="Times New Roman" w:hAnsi="Times New Roman"/>
        </w:rPr>
        <w:t xml:space="preserve"> što je </w:t>
      </w:r>
      <w:r w:rsidR="00116363">
        <w:rPr>
          <w:rFonts w:ascii="Times New Roman" w:hAnsi="Times New Roman"/>
        </w:rPr>
        <w:t xml:space="preserve">3,99 </w:t>
      </w:r>
      <w:r w:rsidR="00D92F6C">
        <w:rPr>
          <w:rFonts w:ascii="Times New Roman" w:hAnsi="Times New Roman"/>
        </w:rPr>
        <w:t>% više u odnosu na prihode ostvarene u izvještajnom razdoblju prethodne godine</w:t>
      </w:r>
      <w:r w:rsidR="00116363">
        <w:rPr>
          <w:rFonts w:ascii="Times New Roman" w:hAnsi="Times New Roman"/>
        </w:rPr>
        <w:t>.</w:t>
      </w:r>
    </w:p>
    <w:p w14:paraId="3DB2729A" w14:textId="12BF76B5" w:rsidR="006F6487" w:rsidRDefault="00D92F6C" w:rsidP="000B666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 odnosu na izvorni plan za 202</w:t>
      </w:r>
      <w:r w:rsidR="00116363">
        <w:rPr>
          <w:rFonts w:ascii="Times New Roman" w:hAnsi="Times New Roman"/>
        </w:rPr>
        <w:t>5</w:t>
      </w:r>
      <w:r>
        <w:rPr>
          <w:rFonts w:ascii="Times New Roman" w:hAnsi="Times New Roman"/>
        </w:rPr>
        <w:t>. godinu, ostvareno je 5</w:t>
      </w:r>
      <w:r w:rsidR="00116363">
        <w:rPr>
          <w:rFonts w:ascii="Times New Roman" w:hAnsi="Times New Roman"/>
        </w:rPr>
        <w:t>0,17</w:t>
      </w:r>
      <w:r>
        <w:rPr>
          <w:rFonts w:ascii="Times New Roman" w:hAnsi="Times New Roman"/>
        </w:rPr>
        <w:t xml:space="preserve"> % planiranih prihoda za 202</w:t>
      </w:r>
      <w:r w:rsidR="00116363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</w:t>
      </w:r>
    </w:p>
    <w:p w14:paraId="01E35CCF" w14:textId="77777777" w:rsidR="00D92F6C" w:rsidRDefault="00D92F6C" w:rsidP="000B666F">
      <w:pPr>
        <w:jc w:val="both"/>
        <w:rPr>
          <w:rFonts w:ascii="Times New Roman" w:hAnsi="Times New Roman"/>
        </w:rPr>
      </w:pPr>
    </w:p>
    <w:p w14:paraId="73666A6B" w14:textId="2B2A6C15" w:rsidR="00707A2A" w:rsidRDefault="00D92F6C" w:rsidP="000B666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Prihodi su najvećim dijelom ostvareni iz izvo</w:t>
      </w:r>
      <w:r w:rsidR="003D2856">
        <w:rPr>
          <w:rFonts w:ascii="Times New Roman" w:hAnsi="Times New Roman"/>
        </w:rPr>
        <w:t xml:space="preserve">ra financiranja </w:t>
      </w:r>
      <w:r w:rsidR="00116363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Pomoći u </w:t>
      </w:r>
      <w:r w:rsidR="007F629D">
        <w:rPr>
          <w:rFonts w:ascii="Times New Roman" w:hAnsi="Times New Roman"/>
        </w:rPr>
        <w:t xml:space="preserve">iznosu </w:t>
      </w:r>
      <w:r w:rsidR="00BB0A32">
        <w:rPr>
          <w:rFonts w:ascii="Times New Roman" w:hAnsi="Times New Roman"/>
        </w:rPr>
        <w:t>1.010</w:t>
      </w:r>
      <w:r w:rsidR="00C867A8">
        <w:rPr>
          <w:rFonts w:ascii="Times New Roman" w:hAnsi="Times New Roman"/>
        </w:rPr>
        <w:t>.</w:t>
      </w:r>
      <w:r w:rsidR="00BB0A32">
        <w:rPr>
          <w:rFonts w:ascii="Times New Roman" w:hAnsi="Times New Roman"/>
        </w:rPr>
        <w:t>918,19</w:t>
      </w:r>
      <w:r w:rsidR="007F629D">
        <w:rPr>
          <w:rFonts w:ascii="Times New Roman" w:hAnsi="Times New Roman"/>
        </w:rPr>
        <w:t xml:space="preserve"> </w:t>
      </w:r>
      <w:proofErr w:type="spellStart"/>
      <w:r w:rsidR="007F629D">
        <w:rPr>
          <w:rFonts w:ascii="Times New Roman" w:hAnsi="Times New Roman"/>
        </w:rPr>
        <w:t>eur</w:t>
      </w:r>
      <w:proofErr w:type="spellEnd"/>
      <w:r>
        <w:rPr>
          <w:rFonts w:ascii="Times New Roman" w:hAnsi="Times New Roman"/>
        </w:rPr>
        <w:t>, a</w:t>
      </w:r>
      <w:r w:rsidR="007F629D">
        <w:rPr>
          <w:rFonts w:ascii="Times New Roman" w:hAnsi="Times New Roman"/>
        </w:rPr>
        <w:t xml:space="preserve"> od</w:t>
      </w:r>
      <w:r w:rsidR="003D2856">
        <w:rPr>
          <w:rFonts w:ascii="Times New Roman" w:hAnsi="Times New Roman"/>
        </w:rPr>
        <w:t>n</w:t>
      </w:r>
      <w:r w:rsidR="007F629D">
        <w:rPr>
          <w:rFonts w:ascii="Times New Roman" w:hAnsi="Times New Roman"/>
        </w:rPr>
        <w:t>ose se</w:t>
      </w:r>
      <w:r>
        <w:rPr>
          <w:rFonts w:ascii="Times New Roman" w:hAnsi="Times New Roman"/>
        </w:rPr>
        <w:t xml:space="preserve"> na plaće i naknade plaća zaposlenicima</w:t>
      </w:r>
      <w:r w:rsidR="003D2856">
        <w:rPr>
          <w:rFonts w:ascii="Times New Roman" w:hAnsi="Times New Roman"/>
        </w:rPr>
        <w:t>, prihoda za financiranje dijela plaća pomoćnika u nastavi</w:t>
      </w:r>
      <w:r w:rsidR="00BB0A32">
        <w:rPr>
          <w:rFonts w:ascii="Times New Roman" w:hAnsi="Times New Roman"/>
        </w:rPr>
        <w:t xml:space="preserve"> i </w:t>
      </w:r>
      <w:r>
        <w:rPr>
          <w:rFonts w:ascii="Times New Roman" w:hAnsi="Times New Roman"/>
        </w:rPr>
        <w:t xml:space="preserve">u odnosu na planirano ostvaren je </w:t>
      </w:r>
      <w:r w:rsidR="00BB0A32">
        <w:rPr>
          <w:rFonts w:ascii="Times New Roman" w:hAnsi="Times New Roman"/>
        </w:rPr>
        <w:t>47,01</w:t>
      </w:r>
      <w:r w:rsidR="007F629D">
        <w:rPr>
          <w:rFonts w:ascii="Times New Roman" w:hAnsi="Times New Roman"/>
        </w:rPr>
        <w:t>%</w:t>
      </w:r>
      <w:r w:rsidR="00BB0A32">
        <w:rPr>
          <w:rFonts w:ascii="Times New Roman" w:hAnsi="Times New Roman"/>
        </w:rPr>
        <w:t xml:space="preserve"> zbog toga što većina rashoda za materijalna prava dospijevaju u drugom dijelu godine. U Odnosu na prošlu godinu na ovom izvoru ostvarenje je veće za 7,82 % zbog poboljšanja materijalnih prava za pomoćnike u nastavi, većeg broja odrađenih prekovremenih sati , te rasta osnovice za zaposlenike javnog sektora. </w:t>
      </w:r>
      <w:r w:rsidR="007F629D">
        <w:rPr>
          <w:rFonts w:ascii="Times New Roman" w:hAnsi="Times New Roman"/>
        </w:rPr>
        <w:t xml:space="preserve"> Iz izvora financiranja </w:t>
      </w:r>
      <w:r w:rsidR="00BB0A32">
        <w:rPr>
          <w:rFonts w:ascii="Times New Roman" w:hAnsi="Times New Roman"/>
        </w:rPr>
        <w:t>3</w:t>
      </w:r>
      <w:r w:rsidR="007F629D">
        <w:rPr>
          <w:rFonts w:ascii="Times New Roman" w:hAnsi="Times New Roman"/>
        </w:rPr>
        <w:t>2</w:t>
      </w:r>
      <w:r w:rsidR="00FF67D0">
        <w:rPr>
          <w:rFonts w:ascii="Times New Roman" w:hAnsi="Times New Roman"/>
        </w:rPr>
        <w:t xml:space="preserve"> – vlastiti prihodi</w:t>
      </w:r>
      <w:r w:rsidR="007F629D">
        <w:rPr>
          <w:rFonts w:ascii="Times New Roman" w:hAnsi="Times New Roman"/>
        </w:rPr>
        <w:t xml:space="preserve"> os</w:t>
      </w:r>
      <w:r w:rsidR="00733243">
        <w:rPr>
          <w:rFonts w:ascii="Times New Roman" w:hAnsi="Times New Roman"/>
        </w:rPr>
        <w:t>tvareno je 9.</w:t>
      </w:r>
      <w:r w:rsidR="00BB0A32">
        <w:rPr>
          <w:rFonts w:ascii="Times New Roman" w:hAnsi="Times New Roman"/>
        </w:rPr>
        <w:t>684,82</w:t>
      </w:r>
      <w:r w:rsidR="00733243">
        <w:rPr>
          <w:rFonts w:ascii="Times New Roman" w:hAnsi="Times New Roman"/>
        </w:rPr>
        <w:t xml:space="preserve"> </w:t>
      </w:r>
      <w:proofErr w:type="spellStart"/>
      <w:r w:rsidR="00733243">
        <w:rPr>
          <w:rFonts w:ascii="Times New Roman" w:hAnsi="Times New Roman"/>
        </w:rPr>
        <w:t>eur</w:t>
      </w:r>
      <w:proofErr w:type="spellEnd"/>
      <w:r w:rsidR="00733243">
        <w:rPr>
          <w:rFonts w:ascii="Times New Roman" w:hAnsi="Times New Roman"/>
        </w:rPr>
        <w:t xml:space="preserve"> što je</w:t>
      </w:r>
      <w:r w:rsidR="007F629D">
        <w:rPr>
          <w:rFonts w:ascii="Times New Roman" w:hAnsi="Times New Roman"/>
        </w:rPr>
        <w:t xml:space="preserve"> na razini </w:t>
      </w:r>
      <w:r w:rsidR="00BB0A32">
        <w:rPr>
          <w:rFonts w:ascii="Times New Roman" w:hAnsi="Times New Roman"/>
        </w:rPr>
        <w:t>106,04</w:t>
      </w:r>
      <w:r w:rsidR="007F629D">
        <w:rPr>
          <w:rFonts w:ascii="Times New Roman" w:hAnsi="Times New Roman"/>
        </w:rPr>
        <w:t xml:space="preserve"> % prošlogodišnjih ostvarenih prihoda, odnosno 6</w:t>
      </w:r>
      <w:r w:rsidR="00BB0A32">
        <w:rPr>
          <w:rFonts w:ascii="Times New Roman" w:hAnsi="Times New Roman"/>
        </w:rPr>
        <w:t>2,46</w:t>
      </w:r>
      <w:r w:rsidR="007F629D">
        <w:rPr>
          <w:rFonts w:ascii="Times New Roman" w:hAnsi="Times New Roman"/>
        </w:rPr>
        <w:t>% planiranih prihoda. Vlastiti prihodi ostvaruju se najvećim dijelom od pružanja us</w:t>
      </w:r>
      <w:r w:rsidR="003D2856">
        <w:rPr>
          <w:rFonts w:ascii="Times New Roman" w:hAnsi="Times New Roman"/>
        </w:rPr>
        <w:t>luga najma školske</w:t>
      </w:r>
      <w:r w:rsidR="007F629D">
        <w:rPr>
          <w:rFonts w:ascii="Times New Roman" w:hAnsi="Times New Roman"/>
        </w:rPr>
        <w:t xml:space="preserve"> dvorane</w:t>
      </w:r>
      <w:r w:rsidR="00FF67D0">
        <w:rPr>
          <w:rFonts w:ascii="Times New Roman" w:hAnsi="Times New Roman"/>
        </w:rPr>
        <w:t xml:space="preserve"> i manjim dijelom prijepisa svjedodžbi.</w:t>
      </w:r>
      <w:r w:rsidR="00BB0A32">
        <w:rPr>
          <w:rFonts w:ascii="Times New Roman" w:hAnsi="Times New Roman"/>
        </w:rPr>
        <w:t xml:space="preserve"> Veći su do planiranih jer je zbog ružnog vremena dvorana davana u najam u duljem vremensko periodu. </w:t>
      </w:r>
      <w:r w:rsidR="003D2856">
        <w:rPr>
          <w:rFonts w:ascii="Times New Roman" w:hAnsi="Times New Roman"/>
        </w:rPr>
        <w:t xml:space="preserve"> </w:t>
      </w:r>
      <w:r w:rsidR="00733243">
        <w:rPr>
          <w:rFonts w:ascii="Times New Roman" w:hAnsi="Times New Roman"/>
        </w:rPr>
        <w:t xml:space="preserve">Prihodi za posebne namjene ostvareni su u iznosu </w:t>
      </w:r>
      <w:r w:rsidR="00C30B33">
        <w:rPr>
          <w:rFonts w:ascii="Times New Roman" w:hAnsi="Times New Roman"/>
        </w:rPr>
        <w:t>53.094,60</w:t>
      </w:r>
      <w:r w:rsidR="00733243">
        <w:rPr>
          <w:rFonts w:ascii="Times New Roman" w:hAnsi="Times New Roman"/>
        </w:rPr>
        <w:t xml:space="preserve"> eura, što je </w:t>
      </w:r>
      <w:r w:rsidR="00C30B33">
        <w:rPr>
          <w:rFonts w:ascii="Times New Roman" w:hAnsi="Times New Roman"/>
        </w:rPr>
        <w:t>119,80 %</w:t>
      </w:r>
      <w:r w:rsidR="00733243">
        <w:rPr>
          <w:rFonts w:ascii="Times New Roman" w:hAnsi="Times New Roman"/>
        </w:rPr>
        <w:t xml:space="preserve"> realizacije prošlogodišnjeg izvršenja i </w:t>
      </w:r>
      <w:r w:rsidR="00C30B33">
        <w:rPr>
          <w:rFonts w:ascii="Times New Roman" w:hAnsi="Times New Roman"/>
        </w:rPr>
        <w:t>56,47</w:t>
      </w:r>
      <w:r w:rsidR="00733243">
        <w:rPr>
          <w:rFonts w:ascii="Times New Roman" w:hAnsi="Times New Roman"/>
        </w:rPr>
        <w:t xml:space="preserve"> % realizacije tekućeg plana. Ova vrsta prihoda ostvaruje se od uplate roditelja, skrbnika i sl. za smještaj učenika u Učeničk</w:t>
      </w:r>
      <w:r w:rsidR="00C867A8">
        <w:rPr>
          <w:rFonts w:ascii="Times New Roman" w:hAnsi="Times New Roman"/>
        </w:rPr>
        <w:t>om</w:t>
      </w:r>
      <w:r w:rsidR="00733243">
        <w:rPr>
          <w:rFonts w:ascii="Times New Roman" w:hAnsi="Times New Roman"/>
        </w:rPr>
        <w:t xml:space="preserve"> dom</w:t>
      </w:r>
      <w:r w:rsidR="00C867A8">
        <w:rPr>
          <w:rFonts w:ascii="Times New Roman" w:hAnsi="Times New Roman"/>
        </w:rPr>
        <w:t>u</w:t>
      </w:r>
      <w:r w:rsidR="00733243">
        <w:rPr>
          <w:rFonts w:ascii="Times New Roman" w:hAnsi="Times New Roman"/>
        </w:rPr>
        <w:t>. U o školskoj godini 2</w:t>
      </w:r>
      <w:r w:rsidR="00C30B33">
        <w:rPr>
          <w:rFonts w:ascii="Times New Roman" w:hAnsi="Times New Roman"/>
        </w:rPr>
        <w:t>4</w:t>
      </w:r>
      <w:r w:rsidR="00733243">
        <w:rPr>
          <w:rFonts w:ascii="Times New Roman" w:hAnsi="Times New Roman"/>
        </w:rPr>
        <w:t>/</w:t>
      </w:r>
      <w:r w:rsidR="00C867A8">
        <w:rPr>
          <w:rFonts w:ascii="Times New Roman" w:hAnsi="Times New Roman"/>
        </w:rPr>
        <w:t xml:space="preserve">25 </w:t>
      </w:r>
      <w:r w:rsidR="00C30B33">
        <w:rPr>
          <w:rFonts w:ascii="Times New Roman" w:hAnsi="Times New Roman"/>
        </w:rPr>
        <w:t>povećan je broj</w:t>
      </w:r>
      <w:r w:rsidR="00733243">
        <w:rPr>
          <w:rFonts w:ascii="Times New Roman" w:hAnsi="Times New Roman"/>
        </w:rPr>
        <w:t xml:space="preserve"> učenika u </w:t>
      </w:r>
      <w:r w:rsidR="00C867A8">
        <w:rPr>
          <w:rFonts w:ascii="Times New Roman" w:hAnsi="Times New Roman"/>
        </w:rPr>
        <w:t>U</w:t>
      </w:r>
      <w:r w:rsidR="00733243">
        <w:rPr>
          <w:rFonts w:ascii="Times New Roman" w:hAnsi="Times New Roman"/>
        </w:rPr>
        <w:t>čeničkom domu pa su i prih</w:t>
      </w:r>
      <w:r w:rsidR="00A30396">
        <w:rPr>
          <w:rFonts w:ascii="Times New Roman" w:hAnsi="Times New Roman"/>
        </w:rPr>
        <w:t xml:space="preserve">odi </w:t>
      </w:r>
      <w:r w:rsidR="00C867A8">
        <w:rPr>
          <w:rFonts w:ascii="Times New Roman" w:hAnsi="Times New Roman"/>
        </w:rPr>
        <w:t>veći</w:t>
      </w:r>
      <w:r w:rsidR="00A30396">
        <w:rPr>
          <w:rFonts w:ascii="Times New Roman" w:hAnsi="Times New Roman"/>
        </w:rPr>
        <w:t xml:space="preserve">, a </w:t>
      </w:r>
      <w:r w:rsidR="00C30B33">
        <w:rPr>
          <w:rFonts w:ascii="Times New Roman" w:hAnsi="Times New Roman"/>
        </w:rPr>
        <w:t>u trenutku sastavljanja izvješ</w:t>
      </w:r>
      <w:r w:rsidR="00707A2A">
        <w:rPr>
          <w:rFonts w:ascii="Times New Roman" w:hAnsi="Times New Roman"/>
        </w:rPr>
        <w:t>ća</w:t>
      </w:r>
      <w:r w:rsidR="00C30B33">
        <w:rPr>
          <w:rFonts w:ascii="Times New Roman" w:hAnsi="Times New Roman"/>
        </w:rPr>
        <w:t xml:space="preserve"> ostvarena je bolj</w:t>
      </w:r>
      <w:r w:rsidR="00C867A8">
        <w:rPr>
          <w:rFonts w:ascii="Times New Roman" w:hAnsi="Times New Roman"/>
        </w:rPr>
        <w:t>a</w:t>
      </w:r>
      <w:r w:rsidR="00C30B33">
        <w:rPr>
          <w:rFonts w:ascii="Times New Roman" w:hAnsi="Times New Roman"/>
        </w:rPr>
        <w:t xml:space="preserve"> realizacija naplate.</w:t>
      </w:r>
      <w:r w:rsidR="00733243">
        <w:rPr>
          <w:rFonts w:ascii="Times New Roman" w:hAnsi="Times New Roman"/>
        </w:rPr>
        <w:t xml:space="preserve"> Izvor </w:t>
      </w:r>
      <w:r w:rsidR="00C30B33">
        <w:rPr>
          <w:rFonts w:ascii="Times New Roman" w:hAnsi="Times New Roman"/>
        </w:rPr>
        <w:t>6</w:t>
      </w:r>
      <w:r w:rsidR="00733243">
        <w:rPr>
          <w:rFonts w:ascii="Times New Roman" w:hAnsi="Times New Roman"/>
        </w:rPr>
        <w:t xml:space="preserve"> – donacije</w:t>
      </w:r>
      <w:r w:rsidR="00C30B33">
        <w:rPr>
          <w:rFonts w:ascii="Times New Roman" w:hAnsi="Times New Roman"/>
        </w:rPr>
        <w:t xml:space="preserve"> nije</w:t>
      </w:r>
      <w:r w:rsidR="00733243">
        <w:rPr>
          <w:rFonts w:ascii="Times New Roman" w:hAnsi="Times New Roman"/>
        </w:rPr>
        <w:t xml:space="preserve"> realiziran </w:t>
      </w:r>
      <w:r w:rsidR="00C30B33">
        <w:rPr>
          <w:rFonts w:ascii="Times New Roman" w:hAnsi="Times New Roman"/>
        </w:rPr>
        <w:t xml:space="preserve"> u ovom dijelu godine. </w:t>
      </w:r>
    </w:p>
    <w:p w14:paraId="0A6C2308" w14:textId="44D1B763" w:rsidR="00431111" w:rsidRDefault="00733243" w:rsidP="000B666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Prihod iz izvora financiranja 11</w:t>
      </w:r>
      <w:r w:rsidR="00C30B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Opći prihodi i primici odnose se na decentralizirana sredstva nadležnog proračuna </w:t>
      </w:r>
      <w:r w:rsidR="00707A2A">
        <w:rPr>
          <w:rFonts w:ascii="Times New Roman" w:hAnsi="Times New Roman"/>
        </w:rPr>
        <w:t xml:space="preserve">za </w:t>
      </w:r>
      <w:r>
        <w:rPr>
          <w:rFonts w:ascii="Times New Roman" w:hAnsi="Times New Roman"/>
        </w:rPr>
        <w:t xml:space="preserve">redovne djelatnosti Škole i Učeničkog doma. Razlog realizacije veće za </w:t>
      </w:r>
      <w:r w:rsidR="00707A2A">
        <w:rPr>
          <w:rFonts w:ascii="Times New Roman" w:hAnsi="Times New Roman"/>
        </w:rPr>
        <w:t>32,21</w:t>
      </w:r>
      <w:r>
        <w:rPr>
          <w:rFonts w:ascii="Times New Roman" w:hAnsi="Times New Roman"/>
        </w:rPr>
        <w:t>% od prošle godine su dodijeljena sredstva za kupnju</w:t>
      </w:r>
      <w:r w:rsidR="00707A2A">
        <w:rPr>
          <w:rFonts w:ascii="Times New Roman" w:hAnsi="Times New Roman"/>
        </w:rPr>
        <w:t xml:space="preserve"> računalne opreme za smjer grafičar i sredstva za kupnju sigurnosne brave za Učenički dom, također materijalna prava pomoćnika u nastavi su povećana, a ona se financiranju i iz ovog izvora, </w:t>
      </w:r>
      <w:r>
        <w:rPr>
          <w:rFonts w:ascii="Times New Roman" w:hAnsi="Times New Roman"/>
        </w:rPr>
        <w:t xml:space="preserve">realizacija u odnosu na tekući plan na </w:t>
      </w:r>
      <w:r w:rsidR="00707A2A">
        <w:rPr>
          <w:rFonts w:ascii="Times New Roman" w:hAnsi="Times New Roman"/>
        </w:rPr>
        <w:t>66,26</w:t>
      </w:r>
      <w:r>
        <w:rPr>
          <w:rFonts w:ascii="Times New Roman" w:hAnsi="Times New Roman"/>
        </w:rPr>
        <w:t xml:space="preserve">%. </w:t>
      </w:r>
      <w:r w:rsidR="00C867A8">
        <w:rPr>
          <w:rFonts w:ascii="Times New Roman" w:hAnsi="Times New Roman"/>
        </w:rPr>
        <w:t>R</w:t>
      </w:r>
      <w:r w:rsidR="00707A2A">
        <w:rPr>
          <w:rFonts w:ascii="Times New Roman" w:hAnsi="Times New Roman"/>
        </w:rPr>
        <w:t>azlog većeg ostvarenje u odnosu na planirano je pokriće metodološkog manjak prenesenog iz prethodne godine na ovom izvoru</w:t>
      </w:r>
      <w:r w:rsidR="00A3472B">
        <w:rPr>
          <w:rFonts w:ascii="Times New Roman" w:hAnsi="Times New Roman"/>
        </w:rPr>
        <w:t xml:space="preserve"> koji se ne nalazi u planu.</w:t>
      </w:r>
    </w:p>
    <w:p w14:paraId="7188955D" w14:textId="77777777" w:rsidR="00600D70" w:rsidRDefault="00600D70" w:rsidP="000B666F">
      <w:pPr>
        <w:jc w:val="both"/>
        <w:rPr>
          <w:rFonts w:ascii="Times New Roman" w:hAnsi="Times New Roman"/>
        </w:rPr>
      </w:pPr>
    </w:p>
    <w:p w14:paraId="1FD70F1B" w14:textId="13A2DB5D" w:rsidR="00600D70" w:rsidRDefault="00600D70" w:rsidP="00600D7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Ukupno ostvareni rashodi</w:t>
      </w:r>
      <w:r w:rsidRPr="000B66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 izvještajnom razdoblju iznose 1.</w:t>
      </w:r>
      <w:r w:rsidR="00A3472B">
        <w:rPr>
          <w:rFonts w:ascii="Times New Roman" w:hAnsi="Times New Roman"/>
        </w:rPr>
        <w:t>411.076,95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eur</w:t>
      </w:r>
      <w:proofErr w:type="spellEnd"/>
      <w:r>
        <w:rPr>
          <w:rFonts w:ascii="Times New Roman" w:hAnsi="Times New Roman"/>
        </w:rPr>
        <w:t xml:space="preserve"> što je </w:t>
      </w:r>
      <w:r w:rsidR="00A3472B">
        <w:rPr>
          <w:rFonts w:ascii="Times New Roman" w:hAnsi="Times New Roman"/>
        </w:rPr>
        <w:t xml:space="preserve">15,77 </w:t>
      </w:r>
      <w:r>
        <w:rPr>
          <w:rFonts w:ascii="Times New Roman" w:hAnsi="Times New Roman"/>
        </w:rPr>
        <w:t>% više u odnosu na rashode ostvarene u izvještajnom razdoblju prethodne godine</w:t>
      </w:r>
      <w:r w:rsidR="00443AB6">
        <w:rPr>
          <w:rFonts w:ascii="Times New Roman" w:hAnsi="Times New Roman"/>
        </w:rPr>
        <w:t>.</w:t>
      </w:r>
    </w:p>
    <w:p w14:paraId="186B52F5" w14:textId="5D5735A5" w:rsidR="00600D70" w:rsidRDefault="00600D70" w:rsidP="00600D7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 odnosu na izvorni plan za 202</w:t>
      </w:r>
      <w:r w:rsidR="00A3472B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godinu, ostvareno je </w:t>
      </w:r>
      <w:r w:rsidR="00A3472B">
        <w:rPr>
          <w:rFonts w:ascii="Times New Roman" w:hAnsi="Times New Roman"/>
        </w:rPr>
        <w:t>56,62</w:t>
      </w:r>
      <w:r>
        <w:rPr>
          <w:rFonts w:ascii="Times New Roman" w:hAnsi="Times New Roman"/>
        </w:rPr>
        <w:t xml:space="preserve"> % planiranih rashoda za 202</w:t>
      </w:r>
      <w:r w:rsidR="00A3472B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</w:t>
      </w:r>
      <w:r w:rsidR="008A22A6">
        <w:rPr>
          <w:rFonts w:ascii="Times New Roman" w:hAnsi="Times New Roman"/>
        </w:rPr>
        <w:t>Uzrok povećanja rashoda u odnosu na prošlu godinu proizlazi iz ulaganja u nabavu nefinancijske imovine</w:t>
      </w:r>
      <w:r w:rsidR="00A3472B">
        <w:rPr>
          <w:rFonts w:ascii="Times New Roman" w:hAnsi="Times New Roman"/>
        </w:rPr>
        <w:t xml:space="preserve"> iz prošlogodišnjih viškova što nije bilo iskazano u planu. </w:t>
      </w:r>
    </w:p>
    <w:p w14:paraId="75B1E9AF" w14:textId="455ECA3F" w:rsidR="00A3472B" w:rsidRDefault="00A3472B" w:rsidP="00600D70">
      <w:pPr>
        <w:jc w:val="both"/>
        <w:rPr>
          <w:rFonts w:ascii="Times New Roman" w:hAnsi="Times New Roman"/>
        </w:rPr>
      </w:pPr>
    </w:p>
    <w:p w14:paraId="6081AD79" w14:textId="48873360" w:rsidR="00A3472B" w:rsidRDefault="00A3472B" w:rsidP="00600D7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izvoru financiranja 711 – prihod</w:t>
      </w:r>
      <w:r w:rsidR="00BB5995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od prodaje nefinancijske škola </w:t>
      </w:r>
      <w:r w:rsidR="00BB5995">
        <w:rPr>
          <w:rFonts w:ascii="Times New Roman" w:hAnsi="Times New Roman"/>
        </w:rPr>
        <w:t xml:space="preserve">je ostvarila prodajom starog </w:t>
      </w:r>
      <w:r>
        <w:rPr>
          <w:rFonts w:ascii="Times New Roman" w:hAnsi="Times New Roman"/>
        </w:rPr>
        <w:t>kombi vozil</w:t>
      </w:r>
      <w:r w:rsidR="00BB5995">
        <w:rPr>
          <w:rFonts w:ascii="Times New Roman" w:hAnsi="Times New Roman"/>
        </w:rPr>
        <w:t>a</w:t>
      </w:r>
      <w:r>
        <w:rPr>
          <w:rFonts w:ascii="Times New Roman" w:hAnsi="Times New Roman"/>
        </w:rPr>
        <w:t>. Prodaja nije iskazana u planu, a na istom izvoru, Škola je ostvarila i rashode za nabavu nefinancijske imovine – klup</w:t>
      </w:r>
      <w:r w:rsidR="00BB5995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za kabinet grafičara što nije iskazano u prvotnom planu.  </w:t>
      </w:r>
    </w:p>
    <w:p w14:paraId="685A33CE" w14:textId="77777777" w:rsidR="008A22A6" w:rsidRDefault="008A22A6" w:rsidP="00600D70">
      <w:pPr>
        <w:jc w:val="both"/>
        <w:rPr>
          <w:rFonts w:ascii="Times New Roman" w:hAnsi="Times New Roman"/>
        </w:rPr>
      </w:pPr>
    </w:p>
    <w:p w14:paraId="67824584" w14:textId="7CF542A0" w:rsidR="008A22A6" w:rsidRDefault="008A22A6" w:rsidP="00600D7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Škola se </w:t>
      </w:r>
      <w:r w:rsidR="00A3472B">
        <w:rPr>
          <w:rFonts w:ascii="Times New Roman" w:hAnsi="Times New Roman"/>
        </w:rPr>
        <w:t xml:space="preserve">nije zaduživala </w:t>
      </w:r>
      <w:r>
        <w:rPr>
          <w:rFonts w:ascii="Times New Roman" w:hAnsi="Times New Roman"/>
        </w:rPr>
        <w:t xml:space="preserve">na domaćem tržištu kapitala (izvor </w:t>
      </w:r>
      <w:r w:rsidR="00A3472B">
        <w:rPr>
          <w:rFonts w:ascii="Times New Roman" w:hAnsi="Times New Roman"/>
        </w:rPr>
        <w:t>8</w:t>
      </w:r>
      <w:r>
        <w:rPr>
          <w:rFonts w:ascii="Times New Roman" w:hAnsi="Times New Roman"/>
        </w:rPr>
        <w:t>11)</w:t>
      </w:r>
      <w:r w:rsidR="00A3472B">
        <w:rPr>
          <w:rFonts w:ascii="Times New Roman" w:hAnsi="Times New Roman"/>
        </w:rPr>
        <w:t xml:space="preserve">. Imala je izdatke za otplate rata leasinga u planiranom iznosu. </w:t>
      </w:r>
    </w:p>
    <w:p w14:paraId="6809DC59" w14:textId="77777777" w:rsidR="00A3472B" w:rsidRDefault="00A3472B" w:rsidP="00600D70">
      <w:pPr>
        <w:jc w:val="both"/>
        <w:rPr>
          <w:rFonts w:ascii="Times New Roman" w:hAnsi="Times New Roman"/>
        </w:rPr>
      </w:pPr>
    </w:p>
    <w:p w14:paraId="0BB1D770" w14:textId="1B19DF72" w:rsidR="00431111" w:rsidRDefault="00431111" w:rsidP="009158CC">
      <w:pPr>
        <w:rPr>
          <w:rFonts w:ascii="Times New Roman" w:hAnsi="Times New Roman"/>
        </w:rPr>
      </w:pPr>
    </w:p>
    <w:p w14:paraId="4A9DDDB9" w14:textId="254FDCB9" w:rsidR="006F4E7F" w:rsidRDefault="006F4E7F" w:rsidP="009158CC">
      <w:pPr>
        <w:rPr>
          <w:rFonts w:ascii="Times New Roman" w:hAnsi="Times New Roman"/>
        </w:rPr>
      </w:pPr>
    </w:p>
    <w:p w14:paraId="03D368DF" w14:textId="606AE74F" w:rsidR="006F4E7F" w:rsidRDefault="006F4E7F" w:rsidP="009158CC">
      <w:pPr>
        <w:rPr>
          <w:rFonts w:ascii="Times New Roman" w:hAnsi="Times New Roman"/>
        </w:rPr>
      </w:pPr>
    </w:p>
    <w:p w14:paraId="0038B9AA" w14:textId="1B375AD1" w:rsidR="006F4E7F" w:rsidRDefault="006F4E7F" w:rsidP="009158CC">
      <w:pPr>
        <w:rPr>
          <w:rFonts w:ascii="Times New Roman" w:hAnsi="Times New Roman"/>
        </w:rPr>
      </w:pPr>
    </w:p>
    <w:p w14:paraId="35A3D646" w14:textId="69601531" w:rsidR="006F4E7F" w:rsidRDefault="006F4E7F" w:rsidP="009158CC">
      <w:pPr>
        <w:rPr>
          <w:rFonts w:ascii="Times New Roman" w:hAnsi="Times New Roman"/>
        </w:rPr>
      </w:pPr>
    </w:p>
    <w:p w14:paraId="2619E9DF" w14:textId="4B2DC729" w:rsidR="006F4E7F" w:rsidRDefault="006F4E7F" w:rsidP="009158CC">
      <w:pPr>
        <w:rPr>
          <w:rFonts w:ascii="Times New Roman" w:hAnsi="Times New Roman"/>
        </w:rPr>
      </w:pPr>
    </w:p>
    <w:p w14:paraId="363E3DBF" w14:textId="0CD397AA" w:rsidR="006F4E7F" w:rsidRDefault="006F4E7F" w:rsidP="009158CC">
      <w:pPr>
        <w:rPr>
          <w:rFonts w:ascii="Times New Roman" w:hAnsi="Times New Roman"/>
        </w:rPr>
      </w:pPr>
    </w:p>
    <w:p w14:paraId="2C6E0EFB" w14:textId="77777777" w:rsidR="006F4E7F" w:rsidRDefault="006F4E7F" w:rsidP="009158CC">
      <w:pPr>
        <w:rPr>
          <w:rFonts w:ascii="Times New Roman" w:hAnsi="Times New Roman"/>
        </w:rPr>
      </w:pPr>
    </w:p>
    <w:p w14:paraId="40A2882E" w14:textId="77777777" w:rsidR="00431111" w:rsidRDefault="00431111" w:rsidP="008E3543">
      <w:pPr>
        <w:jc w:val="center"/>
        <w:rPr>
          <w:rFonts w:ascii="Times New Roman" w:hAnsi="Times New Roman"/>
        </w:rPr>
      </w:pPr>
    </w:p>
    <w:p w14:paraId="364F11CC" w14:textId="77777777" w:rsidR="008E3543" w:rsidRPr="00350B52" w:rsidRDefault="008E3543" w:rsidP="008E3543">
      <w:pPr>
        <w:jc w:val="center"/>
        <w:rPr>
          <w:rFonts w:ascii="Times New Roman" w:hAnsi="Times New Roman"/>
          <w:b/>
        </w:rPr>
      </w:pPr>
      <w:r w:rsidRPr="00350B52">
        <w:rPr>
          <w:rFonts w:ascii="Times New Roman" w:hAnsi="Times New Roman"/>
          <w:b/>
        </w:rPr>
        <w:lastRenderedPageBreak/>
        <w:t>II POSEBNI DIO PRORAČUNA</w:t>
      </w:r>
    </w:p>
    <w:p w14:paraId="126A84B9" w14:textId="77777777" w:rsidR="003C19B4" w:rsidRDefault="003C19B4" w:rsidP="000B666F">
      <w:pPr>
        <w:jc w:val="both"/>
        <w:rPr>
          <w:rFonts w:ascii="Times New Roman" w:hAnsi="Times New Roman"/>
        </w:rPr>
      </w:pPr>
    </w:p>
    <w:p w14:paraId="1B7256DF" w14:textId="77777777" w:rsidR="003C19B4" w:rsidRDefault="003C19B4" w:rsidP="003C19B4">
      <w:pPr>
        <w:jc w:val="center"/>
        <w:rPr>
          <w:rFonts w:ascii="Times New Roman" w:hAnsi="Times New Roman"/>
        </w:rPr>
      </w:pPr>
    </w:p>
    <w:p w14:paraId="34D6A794" w14:textId="039FB877" w:rsidR="004B6376" w:rsidRDefault="00C87CBF" w:rsidP="00C87CBF">
      <w:pPr>
        <w:rPr>
          <w:rFonts w:ascii="Times New Roman" w:hAnsi="Times New Roman"/>
        </w:rPr>
      </w:pPr>
      <w:r w:rsidRPr="00350B52">
        <w:rPr>
          <w:rFonts w:ascii="Times New Roman" w:hAnsi="Times New Roman"/>
          <w:b/>
        </w:rPr>
        <w:t>Prema funkcijskoj klasifikaciji</w:t>
      </w:r>
      <w:r>
        <w:rPr>
          <w:rFonts w:ascii="Times New Roman" w:hAnsi="Times New Roman"/>
        </w:rPr>
        <w:t xml:space="preserve"> škola ostvaruje </w:t>
      </w:r>
      <w:r w:rsidR="00AC7FF3">
        <w:rPr>
          <w:rFonts w:ascii="Times New Roman" w:hAnsi="Times New Roman"/>
        </w:rPr>
        <w:t>funkciju</w:t>
      </w:r>
      <w:r w:rsidR="00A3472B">
        <w:rPr>
          <w:rFonts w:ascii="Times New Roman" w:hAnsi="Times New Roman"/>
        </w:rPr>
        <w:t xml:space="preserve"> </w:t>
      </w:r>
      <w:r w:rsidR="00A3472B" w:rsidRPr="00A3472B">
        <w:rPr>
          <w:rFonts w:ascii="Times New Roman" w:hAnsi="Times New Roman"/>
          <w:b/>
          <w:bCs/>
        </w:rPr>
        <w:t>Javnost</w:t>
      </w:r>
      <w:r w:rsidR="00A3472B">
        <w:rPr>
          <w:rFonts w:ascii="Times New Roman" w:hAnsi="Times New Roman"/>
        </w:rPr>
        <w:t xml:space="preserve"> i </w:t>
      </w:r>
      <w:r w:rsidR="00AC7FF3">
        <w:rPr>
          <w:rFonts w:ascii="Times New Roman" w:hAnsi="Times New Roman"/>
        </w:rPr>
        <w:t xml:space="preserve"> </w:t>
      </w:r>
      <w:r w:rsidR="00AC7FF3" w:rsidRPr="00AC7FF3">
        <w:rPr>
          <w:rFonts w:ascii="Times New Roman" w:hAnsi="Times New Roman"/>
          <w:b/>
        </w:rPr>
        <w:t>O</w:t>
      </w:r>
      <w:r w:rsidRPr="00AC7FF3">
        <w:rPr>
          <w:rFonts w:ascii="Times New Roman" w:hAnsi="Times New Roman"/>
          <w:b/>
        </w:rPr>
        <w:t>brazovanje</w:t>
      </w:r>
      <w:r>
        <w:rPr>
          <w:rFonts w:ascii="Times New Roman" w:hAnsi="Times New Roman"/>
        </w:rPr>
        <w:t xml:space="preserve"> </w:t>
      </w:r>
      <w:r w:rsidR="004B6376">
        <w:rPr>
          <w:rFonts w:ascii="Times New Roman" w:hAnsi="Times New Roman"/>
        </w:rPr>
        <w:t>.</w:t>
      </w:r>
    </w:p>
    <w:p w14:paraId="21744DC0" w14:textId="0AB8F6EE" w:rsidR="004B6376" w:rsidRDefault="004B6376" w:rsidP="00C87C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 funkciji javnost iskazani su prihodi i rashodi za financiranje rata za otplatu leasinga. U skladu su sa planom. </w:t>
      </w:r>
    </w:p>
    <w:p w14:paraId="0C7B5C31" w14:textId="4DE5CABE" w:rsidR="00C87CBF" w:rsidRDefault="004B6376" w:rsidP="00C87C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Obrazovanje je </w:t>
      </w:r>
      <w:r w:rsidR="00C87CBF">
        <w:rPr>
          <w:rFonts w:ascii="Times New Roman" w:hAnsi="Times New Roman"/>
        </w:rPr>
        <w:t>podijeljen</w:t>
      </w:r>
      <w:r>
        <w:rPr>
          <w:rFonts w:ascii="Times New Roman" w:hAnsi="Times New Roman"/>
        </w:rPr>
        <w:t>o</w:t>
      </w:r>
      <w:r w:rsidR="00EF47E1">
        <w:rPr>
          <w:rFonts w:ascii="Times New Roman" w:hAnsi="Times New Roman"/>
        </w:rPr>
        <w:t xml:space="preserve"> na dvije podskupine 092 S</w:t>
      </w:r>
      <w:r w:rsidR="00C87CBF">
        <w:rPr>
          <w:rFonts w:ascii="Times New Roman" w:hAnsi="Times New Roman"/>
        </w:rPr>
        <w:t>rednjoškolsko obrazovanje</w:t>
      </w:r>
      <w:r w:rsidR="00EF47E1">
        <w:rPr>
          <w:rFonts w:ascii="Times New Roman" w:hAnsi="Times New Roman"/>
        </w:rPr>
        <w:t xml:space="preserve"> i 096 D</w:t>
      </w:r>
      <w:r w:rsidR="00C87CBF">
        <w:rPr>
          <w:rFonts w:ascii="Times New Roman" w:hAnsi="Times New Roman"/>
        </w:rPr>
        <w:t xml:space="preserve">odatne usluge u obrazovanju. U odnosu na </w:t>
      </w:r>
      <w:r w:rsidR="00C50413">
        <w:rPr>
          <w:rFonts w:ascii="Times New Roman" w:hAnsi="Times New Roman"/>
        </w:rPr>
        <w:t>izvršenje</w:t>
      </w:r>
      <w:r w:rsidR="00C44051">
        <w:rPr>
          <w:rFonts w:ascii="Times New Roman" w:hAnsi="Times New Roman"/>
        </w:rPr>
        <w:t xml:space="preserve"> 202</w:t>
      </w:r>
      <w:r w:rsidR="00A3472B">
        <w:rPr>
          <w:rFonts w:ascii="Times New Roman" w:hAnsi="Times New Roman"/>
        </w:rPr>
        <w:t>4</w:t>
      </w:r>
      <w:r w:rsidR="00C50413">
        <w:rPr>
          <w:rFonts w:ascii="Times New Roman" w:hAnsi="Times New Roman"/>
        </w:rPr>
        <w:t>.</w:t>
      </w:r>
      <w:r w:rsidR="00C87CBF">
        <w:rPr>
          <w:rFonts w:ascii="Times New Roman" w:hAnsi="Times New Roman"/>
        </w:rPr>
        <w:t xml:space="preserve"> godine bilježi se poveć</w:t>
      </w:r>
      <w:r w:rsidR="00C44051">
        <w:rPr>
          <w:rFonts w:ascii="Times New Roman" w:hAnsi="Times New Roman"/>
        </w:rPr>
        <w:t>anje i prihoda i rashoda.</w:t>
      </w:r>
    </w:p>
    <w:p w14:paraId="738C7999" w14:textId="77777777" w:rsidR="00C44051" w:rsidRDefault="00C44051" w:rsidP="00C87CBF">
      <w:pPr>
        <w:rPr>
          <w:rFonts w:ascii="Times New Roman" w:hAnsi="Times New Roman"/>
        </w:rPr>
      </w:pPr>
    </w:p>
    <w:p w14:paraId="6F21CC74" w14:textId="77777777" w:rsidR="00C44051" w:rsidRDefault="00C44051" w:rsidP="00C87CBF">
      <w:pPr>
        <w:rPr>
          <w:rFonts w:ascii="Times New Roman" w:hAnsi="Times New Roman"/>
        </w:rPr>
      </w:pPr>
    </w:p>
    <w:p w14:paraId="7EAD714D" w14:textId="77777777" w:rsidR="00C44051" w:rsidRDefault="00C44051" w:rsidP="00C87CBF">
      <w:pPr>
        <w:rPr>
          <w:rFonts w:ascii="Times New Roman" w:hAnsi="Times New Roman"/>
        </w:rPr>
      </w:pPr>
    </w:p>
    <w:p w14:paraId="5EE09E37" w14:textId="77777777" w:rsidR="00E33144" w:rsidRDefault="00E82A97" w:rsidP="00E82A97">
      <w:pPr>
        <w:rPr>
          <w:rFonts w:ascii="Times New Roman" w:hAnsi="Times New Roman"/>
          <w:b/>
        </w:rPr>
      </w:pPr>
      <w:r w:rsidRPr="00350B52">
        <w:rPr>
          <w:rFonts w:ascii="Times New Roman" w:hAnsi="Times New Roman"/>
          <w:b/>
        </w:rPr>
        <w:t xml:space="preserve">Ostvareni prihodi </w:t>
      </w:r>
      <w:r w:rsidR="00350B52" w:rsidRPr="00350B52">
        <w:rPr>
          <w:rFonts w:ascii="Times New Roman" w:hAnsi="Times New Roman"/>
          <w:b/>
        </w:rPr>
        <w:t xml:space="preserve"> po programskoj klasifikaciji</w:t>
      </w:r>
      <w:r w:rsidR="00C33D44">
        <w:rPr>
          <w:rFonts w:ascii="Times New Roman" w:hAnsi="Times New Roman"/>
          <w:b/>
        </w:rPr>
        <w:t xml:space="preserve">: </w:t>
      </w:r>
    </w:p>
    <w:p w14:paraId="6A229EEF" w14:textId="77777777" w:rsidR="00350B52" w:rsidRDefault="00350B52" w:rsidP="00E82A97">
      <w:pPr>
        <w:rPr>
          <w:rFonts w:ascii="Times New Roman" w:hAnsi="Times New Roman"/>
          <w:b/>
        </w:rPr>
      </w:pPr>
    </w:p>
    <w:p w14:paraId="4D3839CC" w14:textId="77777777" w:rsidR="00350B52" w:rsidRDefault="00350B52" w:rsidP="00E82A9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Program  P1 R</w:t>
      </w:r>
      <w:r w:rsidR="00C33D44">
        <w:rPr>
          <w:rFonts w:ascii="Times New Roman" w:hAnsi="Times New Roman"/>
          <w:b/>
        </w:rPr>
        <w:t xml:space="preserve">edovne djelatnosti </w:t>
      </w:r>
      <w:r w:rsidR="00C33D44">
        <w:rPr>
          <w:rFonts w:ascii="Times New Roman" w:hAnsi="Times New Roman"/>
        </w:rPr>
        <w:t>sadrži jednu aktivnost Redovna djelatnost SŠ- vlastita sredstva korisnika. Financira se iz četiri izvora: vlastiti prihodi, prihodi za posebne namjene, pomoći i donacije.</w:t>
      </w:r>
    </w:p>
    <w:p w14:paraId="010E346F" w14:textId="77777777" w:rsidR="00595B91" w:rsidRDefault="00595B91" w:rsidP="00E82A97">
      <w:pPr>
        <w:rPr>
          <w:rFonts w:ascii="Times New Roman" w:hAnsi="Times New Roman"/>
          <w:b/>
        </w:rPr>
      </w:pPr>
    </w:p>
    <w:p w14:paraId="18FE3A54" w14:textId="14DD1413" w:rsidR="00C33D44" w:rsidRPr="00776BD0" w:rsidRDefault="00776BD0" w:rsidP="00E82A97">
      <w:pPr>
        <w:rPr>
          <w:rFonts w:ascii="Times New Roman" w:hAnsi="Times New Roman"/>
        </w:rPr>
      </w:pPr>
      <w:r w:rsidRPr="00776BD0">
        <w:rPr>
          <w:rFonts w:ascii="Times New Roman" w:hAnsi="Times New Roman"/>
          <w:b/>
        </w:rPr>
        <w:t>Vlastiti rashodi</w:t>
      </w:r>
      <w:r w:rsidR="006B0A84">
        <w:rPr>
          <w:rFonts w:ascii="Times New Roman" w:hAnsi="Times New Roman"/>
        </w:rPr>
        <w:t xml:space="preserve"> izvršeni su </w:t>
      </w:r>
      <w:r w:rsidR="004B6376">
        <w:rPr>
          <w:rFonts w:ascii="Times New Roman" w:hAnsi="Times New Roman"/>
        </w:rPr>
        <w:t>63,34</w:t>
      </w:r>
      <w:r w:rsidR="00C33D44" w:rsidRPr="00776BD0">
        <w:rPr>
          <w:rFonts w:ascii="Times New Roman" w:hAnsi="Times New Roman"/>
        </w:rPr>
        <w:t>%</w:t>
      </w:r>
      <w:r w:rsidR="006B0A84">
        <w:rPr>
          <w:rFonts w:ascii="Times New Roman" w:hAnsi="Times New Roman"/>
        </w:rPr>
        <w:t xml:space="preserve"> </w:t>
      </w:r>
      <w:r w:rsidRPr="00776BD0">
        <w:rPr>
          <w:rFonts w:ascii="Times New Roman" w:hAnsi="Times New Roman"/>
        </w:rPr>
        <w:t xml:space="preserve"> planiranog</w:t>
      </w:r>
      <w:r w:rsidR="00C33D44" w:rsidRPr="00776BD0">
        <w:rPr>
          <w:rFonts w:ascii="Times New Roman" w:hAnsi="Times New Roman"/>
        </w:rPr>
        <w:t xml:space="preserve">. </w:t>
      </w:r>
      <w:r w:rsidR="00EA0BE6" w:rsidRPr="00776BD0">
        <w:rPr>
          <w:rFonts w:ascii="Times New Roman" w:hAnsi="Times New Roman"/>
        </w:rPr>
        <w:t xml:space="preserve">Ova vrsta  prihoda najvećim dijelom ostvaruje se najmom školske dvorane. </w:t>
      </w:r>
      <w:r w:rsidR="00C33D44" w:rsidRPr="00776BD0">
        <w:rPr>
          <w:rFonts w:ascii="Times New Roman" w:hAnsi="Times New Roman"/>
        </w:rPr>
        <w:t>Materi</w:t>
      </w:r>
      <w:r w:rsidRPr="00776BD0">
        <w:rPr>
          <w:rFonts w:ascii="Times New Roman" w:hAnsi="Times New Roman"/>
        </w:rPr>
        <w:t>jalni rashodi su n</w:t>
      </w:r>
      <w:r w:rsidR="006B0A84">
        <w:rPr>
          <w:rFonts w:ascii="Times New Roman" w:hAnsi="Times New Roman"/>
        </w:rPr>
        <w:t xml:space="preserve">a razini </w:t>
      </w:r>
      <w:r w:rsidR="004B6376">
        <w:rPr>
          <w:rFonts w:ascii="Times New Roman" w:hAnsi="Times New Roman"/>
        </w:rPr>
        <w:t>11,38</w:t>
      </w:r>
      <w:r w:rsidR="006B0A84">
        <w:rPr>
          <w:rFonts w:ascii="Times New Roman" w:hAnsi="Times New Roman"/>
        </w:rPr>
        <w:t>%,  rashodi</w:t>
      </w:r>
      <w:r w:rsidR="004B6376">
        <w:rPr>
          <w:rFonts w:ascii="Times New Roman" w:hAnsi="Times New Roman"/>
        </w:rPr>
        <w:t xml:space="preserve"> za zaposlene</w:t>
      </w:r>
      <w:r w:rsidR="006B0A84">
        <w:rPr>
          <w:rFonts w:ascii="Times New Roman" w:hAnsi="Times New Roman"/>
        </w:rPr>
        <w:t xml:space="preserve"> </w:t>
      </w:r>
      <w:r w:rsidR="004B6376">
        <w:rPr>
          <w:rFonts w:ascii="Times New Roman" w:hAnsi="Times New Roman"/>
        </w:rPr>
        <w:t>6,53</w:t>
      </w:r>
      <w:r w:rsidR="006B0A84">
        <w:rPr>
          <w:rFonts w:ascii="Times New Roman" w:hAnsi="Times New Roman"/>
        </w:rPr>
        <w:t xml:space="preserve"> </w:t>
      </w:r>
      <w:r w:rsidR="00C33D44" w:rsidRPr="00776BD0">
        <w:rPr>
          <w:rFonts w:ascii="Times New Roman" w:hAnsi="Times New Roman"/>
        </w:rPr>
        <w:t xml:space="preserve">%, Rashodi za nabavu </w:t>
      </w:r>
      <w:r w:rsidR="004B6376" w:rsidRPr="00776BD0">
        <w:rPr>
          <w:rFonts w:ascii="Times New Roman" w:hAnsi="Times New Roman"/>
        </w:rPr>
        <w:t>neproiz</w:t>
      </w:r>
      <w:r w:rsidR="004B6376">
        <w:rPr>
          <w:rFonts w:ascii="Times New Roman" w:hAnsi="Times New Roman"/>
        </w:rPr>
        <w:t>vodne</w:t>
      </w:r>
      <w:r w:rsidR="006B0A84">
        <w:rPr>
          <w:rFonts w:ascii="Times New Roman" w:hAnsi="Times New Roman"/>
        </w:rPr>
        <w:t xml:space="preserve"> dugotrajne imovine </w:t>
      </w:r>
      <w:r w:rsidR="004B6376">
        <w:rPr>
          <w:rFonts w:ascii="Times New Roman" w:hAnsi="Times New Roman"/>
        </w:rPr>
        <w:t>10,97</w:t>
      </w:r>
      <w:r w:rsidR="00C33D44" w:rsidRPr="00776BD0">
        <w:rPr>
          <w:rFonts w:ascii="Times New Roman" w:hAnsi="Times New Roman"/>
        </w:rPr>
        <w:t xml:space="preserve">%. </w:t>
      </w:r>
      <w:r w:rsidR="004B6376">
        <w:rPr>
          <w:rFonts w:ascii="Times New Roman" w:hAnsi="Times New Roman"/>
        </w:rPr>
        <w:t xml:space="preserve">Rashodi za usluge povećani su i iznose 1267,75% planiranog, naime utrošak viška iz prethodnih godina nije bio planiran, a usluge su realizirane. </w:t>
      </w:r>
    </w:p>
    <w:p w14:paraId="6C105E3D" w14:textId="77777777" w:rsidR="00776BD0" w:rsidRPr="00776BD0" w:rsidRDefault="00776BD0" w:rsidP="00E82A97">
      <w:pPr>
        <w:rPr>
          <w:rFonts w:ascii="Times New Roman" w:hAnsi="Times New Roman"/>
        </w:rPr>
      </w:pPr>
      <w:r w:rsidRPr="00776BD0">
        <w:rPr>
          <w:rFonts w:ascii="Times New Roman" w:hAnsi="Times New Roman"/>
        </w:rPr>
        <w:t>Rashodi su veći od izvorno planiranih zbog utroška viška iz prethodnih godina u nefinancijsku imovinu koji nije naveden u planu.</w:t>
      </w:r>
    </w:p>
    <w:p w14:paraId="4AFC3891" w14:textId="77777777" w:rsidR="00776BD0" w:rsidRPr="003A559D" w:rsidRDefault="00776BD0" w:rsidP="00E82A97">
      <w:pPr>
        <w:rPr>
          <w:rFonts w:ascii="Times New Roman" w:hAnsi="Times New Roman"/>
          <w:color w:val="FF0000"/>
        </w:rPr>
      </w:pPr>
    </w:p>
    <w:p w14:paraId="4912F236" w14:textId="77777777" w:rsidR="00C33D44" w:rsidRPr="00193EAD" w:rsidRDefault="00C33D44" w:rsidP="00E82A97">
      <w:pPr>
        <w:rPr>
          <w:rFonts w:ascii="Times New Roman" w:hAnsi="Times New Roman"/>
        </w:rPr>
      </w:pPr>
      <w:r w:rsidRPr="00193EAD">
        <w:rPr>
          <w:rFonts w:ascii="Times New Roman" w:hAnsi="Times New Roman"/>
          <w:b/>
        </w:rPr>
        <w:t>Priho</w:t>
      </w:r>
      <w:r w:rsidR="00EA0BE6" w:rsidRPr="00193EAD">
        <w:rPr>
          <w:rFonts w:ascii="Times New Roman" w:hAnsi="Times New Roman"/>
          <w:b/>
        </w:rPr>
        <w:t>di za posebne namjene – korisnici</w:t>
      </w:r>
      <w:r w:rsidR="00EA0BE6" w:rsidRPr="00193EAD">
        <w:rPr>
          <w:rFonts w:ascii="Times New Roman" w:hAnsi="Times New Roman"/>
        </w:rPr>
        <w:t xml:space="preserve"> ostvaruju se uplatama roditelj i skrbnika za smještaj učenika u Učeničkom domu. </w:t>
      </w:r>
    </w:p>
    <w:p w14:paraId="4F6BD7F0" w14:textId="2C5FF50A" w:rsidR="00C81C67" w:rsidRPr="00776BD0" w:rsidRDefault="00EA0BE6" w:rsidP="00C81C67">
      <w:pPr>
        <w:rPr>
          <w:rFonts w:ascii="Times New Roman" w:hAnsi="Times New Roman"/>
        </w:rPr>
      </w:pPr>
      <w:r w:rsidRPr="00193EAD">
        <w:rPr>
          <w:rFonts w:ascii="Times New Roman" w:hAnsi="Times New Roman"/>
        </w:rPr>
        <w:t xml:space="preserve">U odnosu na planirano rashodi s </w:t>
      </w:r>
      <w:r w:rsidR="00193EAD" w:rsidRPr="00193EAD">
        <w:rPr>
          <w:rFonts w:ascii="Times New Roman" w:hAnsi="Times New Roman"/>
        </w:rPr>
        <w:t xml:space="preserve">ovog izvora realizirani su </w:t>
      </w:r>
      <w:r w:rsidR="00C81C67">
        <w:rPr>
          <w:rFonts w:ascii="Times New Roman" w:hAnsi="Times New Roman"/>
        </w:rPr>
        <w:t>55,17</w:t>
      </w:r>
      <w:r w:rsidRPr="00193EAD">
        <w:rPr>
          <w:rFonts w:ascii="Times New Roman" w:hAnsi="Times New Roman"/>
        </w:rPr>
        <w:t>%.</w:t>
      </w:r>
      <w:r w:rsidR="00C81C67">
        <w:rPr>
          <w:rFonts w:ascii="Times New Roman" w:hAnsi="Times New Roman"/>
        </w:rPr>
        <w:t xml:space="preserve"> Rashodi za zaposlene su 13,86 %,</w:t>
      </w:r>
      <w:r w:rsidRPr="00193EAD">
        <w:rPr>
          <w:rFonts w:ascii="Times New Roman" w:hAnsi="Times New Roman"/>
        </w:rPr>
        <w:t xml:space="preserve"> </w:t>
      </w:r>
      <w:r w:rsidR="00C81C67">
        <w:rPr>
          <w:rFonts w:ascii="Times New Roman" w:hAnsi="Times New Roman"/>
        </w:rPr>
        <w:t>m</w:t>
      </w:r>
      <w:r w:rsidRPr="00193EAD">
        <w:rPr>
          <w:rFonts w:ascii="Times New Roman" w:hAnsi="Times New Roman"/>
        </w:rPr>
        <w:t>ateri</w:t>
      </w:r>
      <w:r w:rsidR="00193EAD" w:rsidRPr="00193EAD">
        <w:rPr>
          <w:rFonts w:ascii="Times New Roman" w:hAnsi="Times New Roman"/>
        </w:rPr>
        <w:t xml:space="preserve">jalni rashodi su na razini </w:t>
      </w:r>
      <w:r w:rsidR="00C81C67">
        <w:rPr>
          <w:rFonts w:ascii="Times New Roman" w:hAnsi="Times New Roman"/>
        </w:rPr>
        <w:t>49,72</w:t>
      </w:r>
      <w:r w:rsidRPr="00193EAD">
        <w:rPr>
          <w:rFonts w:ascii="Times New Roman" w:hAnsi="Times New Roman"/>
        </w:rPr>
        <w:t xml:space="preserve">%, </w:t>
      </w:r>
      <w:r w:rsidR="00C81C67">
        <w:rPr>
          <w:rFonts w:ascii="Times New Roman" w:hAnsi="Times New Roman"/>
        </w:rPr>
        <w:t>dok s u rashodi za usluge veći od planiranih za 16,73% godišnjeg plana.</w:t>
      </w:r>
      <w:r w:rsidR="00C81C67" w:rsidRPr="00C81C67">
        <w:rPr>
          <w:rFonts w:ascii="Times New Roman" w:hAnsi="Times New Roman"/>
        </w:rPr>
        <w:t xml:space="preserve"> </w:t>
      </w:r>
      <w:r w:rsidR="00C81C67" w:rsidRPr="00776BD0">
        <w:rPr>
          <w:rFonts w:ascii="Times New Roman" w:hAnsi="Times New Roman"/>
        </w:rPr>
        <w:t xml:space="preserve">Rashodi su veći od izvorno planiranih zbog utroška viška iz prethodnih godina </w:t>
      </w:r>
      <w:r w:rsidR="00C81C67">
        <w:rPr>
          <w:rFonts w:ascii="Times New Roman" w:hAnsi="Times New Roman"/>
        </w:rPr>
        <w:t xml:space="preserve">i ulaganje u unutarnje uređenja učeničkog doma (usluge ličenja). </w:t>
      </w:r>
    </w:p>
    <w:p w14:paraId="76E2CBCB" w14:textId="7747F7CA" w:rsidR="00E82A97" w:rsidRPr="00193EAD" w:rsidRDefault="00E82A97" w:rsidP="00E82A97">
      <w:pPr>
        <w:rPr>
          <w:rFonts w:ascii="Times New Roman" w:hAnsi="Times New Roman"/>
        </w:rPr>
      </w:pPr>
    </w:p>
    <w:p w14:paraId="75B12434" w14:textId="77777777" w:rsidR="00193EAD" w:rsidRPr="003A559D" w:rsidRDefault="00193EAD" w:rsidP="00E82A97">
      <w:pPr>
        <w:rPr>
          <w:rFonts w:ascii="Times New Roman" w:hAnsi="Times New Roman"/>
          <w:color w:val="FF0000"/>
        </w:rPr>
      </w:pPr>
    </w:p>
    <w:p w14:paraId="27C6C9AA" w14:textId="739C1DBE" w:rsidR="00655D01" w:rsidRPr="005363F8" w:rsidRDefault="007D4295" w:rsidP="00655D01">
      <w:pPr>
        <w:rPr>
          <w:rFonts w:ascii="Times New Roman" w:hAnsi="Times New Roman"/>
        </w:rPr>
      </w:pPr>
      <w:r w:rsidRPr="005363F8">
        <w:rPr>
          <w:rFonts w:ascii="Times New Roman" w:hAnsi="Times New Roman"/>
          <w:b/>
        </w:rPr>
        <w:t>Pomoći</w:t>
      </w:r>
      <w:r w:rsidRPr="005363F8">
        <w:rPr>
          <w:rFonts w:ascii="Times New Roman" w:hAnsi="Times New Roman"/>
        </w:rPr>
        <w:t xml:space="preserve"> – izvor financiranja je proračun (najvećim dijelom MZO-a) koji nam nije nadležan. Planirani rashodi </w:t>
      </w:r>
      <w:r w:rsidR="005D17D5">
        <w:rPr>
          <w:rFonts w:ascii="Times New Roman" w:hAnsi="Times New Roman"/>
        </w:rPr>
        <w:t>manji</w:t>
      </w:r>
      <w:r w:rsidRPr="005363F8">
        <w:rPr>
          <w:rFonts w:ascii="Times New Roman" w:hAnsi="Times New Roman"/>
        </w:rPr>
        <w:t xml:space="preserve"> su od </w:t>
      </w:r>
      <w:r w:rsidR="00194A31" w:rsidRPr="005363F8">
        <w:rPr>
          <w:rFonts w:ascii="Times New Roman" w:hAnsi="Times New Roman"/>
        </w:rPr>
        <w:t>izvršenja</w:t>
      </w:r>
      <w:r w:rsidR="00193EAD" w:rsidRPr="005363F8">
        <w:rPr>
          <w:rFonts w:ascii="Times New Roman" w:hAnsi="Times New Roman"/>
        </w:rPr>
        <w:t xml:space="preserve"> koje je na razini </w:t>
      </w:r>
      <w:r w:rsidR="005D17D5">
        <w:rPr>
          <w:rFonts w:ascii="Times New Roman" w:hAnsi="Times New Roman"/>
        </w:rPr>
        <w:t>55,24</w:t>
      </w:r>
      <w:r w:rsidRPr="005363F8">
        <w:rPr>
          <w:rFonts w:ascii="Times New Roman" w:hAnsi="Times New Roman"/>
        </w:rPr>
        <w:t xml:space="preserve">%. </w:t>
      </w:r>
      <w:r w:rsidR="00193EAD" w:rsidRPr="005363F8">
        <w:rPr>
          <w:rFonts w:ascii="Times New Roman" w:hAnsi="Times New Roman"/>
        </w:rPr>
        <w:t xml:space="preserve">U odnosu na prošlogodišnje razdoblje to je </w:t>
      </w:r>
      <w:r w:rsidR="005D17D5">
        <w:rPr>
          <w:rFonts w:ascii="Times New Roman" w:hAnsi="Times New Roman"/>
        </w:rPr>
        <w:t xml:space="preserve">24,36 </w:t>
      </w:r>
      <w:r w:rsidR="00193EAD" w:rsidRPr="005363F8">
        <w:rPr>
          <w:rFonts w:ascii="Times New Roman" w:hAnsi="Times New Roman"/>
        </w:rPr>
        <w:t>% više. Glavni uzrok je povećanja plaća i naknada zaposlenima.</w:t>
      </w:r>
    </w:p>
    <w:p w14:paraId="10335275" w14:textId="48FA4B10" w:rsidR="00194A31" w:rsidRPr="005363F8" w:rsidRDefault="00194A31" w:rsidP="00655D01">
      <w:pPr>
        <w:rPr>
          <w:rFonts w:ascii="Times New Roman" w:hAnsi="Times New Roman"/>
        </w:rPr>
      </w:pPr>
      <w:r w:rsidRPr="005363F8">
        <w:rPr>
          <w:rFonts w:ascii="Times New Roman" w:hAnsi="Times New Roman"/>
        </w:rPr>
        <w:t xml:space="preserve">Najvećim dijelom financiraju se rashodi za zaposlene koji su </w:t>
      </w:r>
      <w:r w:rsidR="00193EAD" w:rsidRPr="005363F8">
        <w:rPr>
          <w:rFonts w:ascii="Times New Roman" w:hAnsi="Times New Roman"/>
        </w:rPr>
        <w:t xml:space="preserve">izvršeni u odnosu na plan </w:t>
      </w:r>
      <w:r w:rsidR="005D17D5">
        <w:rPr>
          <w:rFonts w:ascii="Times New Roman" w:hAnsi="Times New Roman"/>
        </w:rPr>
        <w:t>55,88</w:t>
      </w:r>
      <w:r w:rsidRPr="005363F8">
        <w:rPr>
          <w:rFonts w:ascii="Times New Roman" w:hAnsi="Times New Roman"/>
        </w:rPr>
        <w:t xml:space="preserve">%, </w:t>
      </w:r>
      <w:r w:rsidR="005D17D5">
        <w:rPr>
          <w:rFonts w:ascii="Times New Roman" w:hAnsi="Times New Roman"/>
        </w:rPr>
        <w:t>ostali rashodi premašeni su u odnosu na plan zbog rasta cijene usluge prijevoznika (radi se u malenom apsolutno iznosu).</w:t>
      </w:r>
    </w:p>
    <w:p w14:paraId="1BEF01DC" w14:textId="77777777" w:rsidR="00FA6BB5" w:rsidRPr="003A559D" w:rsidRDefault="00FA6BB5" w:rsidP="00655D01">
      <w:pPr>
        <w:rPr>
          <w:rFonts w:ascii="Times New Roman" w:hAnsi="Times New Roman"/>
          <w:color w:val="FF0000"/>
        </w:rPr>
      </w:pPr>
    </w:p>
    <w:p w14:paraId="3B2726F8" w14:textId="4781E5DC" w:rsidR="00FA6BB5" w:rsidRPr="005363F8" w:rsidRDefault="00FA6BB5" w:rsidP="00655D01">
      <w:pPr>
        <w:rPr>
          <w:rFonts w:ascii="Times New Roman" w:hAnsi="Times New Roman"/>
        </w:rPr>
      </w:pPr>
      <w:r w:rsidRPr="005363F8">
        <w:rPr>
          <w:rFonts w:ascii="Times New Roman" w:hAnsi="Times New Roman"/>
          <w:b/>
        </w:rPr>
        <w:t xml:space="preserve">Donacije – </w:t>
      </w:r>
      <w:r w:rsidR="005D17D5">
        <w:rPr>
          <w:rFonts w:ascii="Times New Roman" w:hAnsi="Times New Roman"/>
        </w:rPr>
        <w:t xml:space="preserve">nisu ostvarene. </w:t>
      </w:r>
    </w:p>
    <w:p w14:paraId="680ECDF6" w14:textId="77777777" w:rsidR="00655D01" w:rsidRDefault="00655D01" w:rsidP="00655D01">
      <w:pPr>
        <w:rPr>
          <w:rFonts w:ascii="Times New Roman" w:hAnsi="Times New Roman"/>
        </w:rPr>
      </w:pPr>
    </w:p>
    <w:p w14:paraId="1B00365A" w14:textId="1DD9E5CB" w:rsidR="00FA6BB5" w:rsidRDefault="00FA6BB5" w:rsidP="00655D0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Program  P16 Srednjoškolsko obrazovanje - decentralizacija </w:t>
      </w:r>
      <w:r>
        <w:rPr>
          <w:rFonts w:ascii="Times New Roman" w:hAnsi="Times New Roman"/>
        </w:rPr>
        <w:t xml:space="preserve">sadrži </w:t>
      </w:r>
      <w:r w:rsidR="005B2A74">
        <w:rPr>
          <w:rFonts w:ascii="Times New Roman" w:hAnsi="Times New Roman"/>
        </w:rPr>
        <w:t>nekoliko</w:t>
      </w:r>
      <w:r>
        <w:rPr>
          <w:rFonts w:ascii="Times New Roman" w:hAnsi="Times New Roman"/>
        </w:rPr>
        <w:t xml:space="preserve"> aktivnosti Redovna djelatnost SŠ </w:t>
      </w:r>
      <w:r w:rsidR="005B2A74">
        <w:rPr>
          <w:rFonts w:ascii="Times New Roman" w:hAnsi="Times New Roman"/>
        </w:rPr>
        <w:t xml:space="preserve">, Otplata kredita SŠ, </w:t>
      </w:r>
      <w:r>
        <w:rPr>
          <w:rFonts w:ascii="Times New Roman" w:hAnsi="Times New Roman"/>
        </w:rPr>
        <w:t xml:space="preserve"> Prehrana i smještaj u Učeničkim domovima </w:t>
      </w:r>
      <w:r w:rsidR="000069F5">
        <w:rPr>
          <w:rFonts w:ascii="Times New Roman" w:hAnsi="Times New Roman"/>
        </w:rPr>
        <w:t>–</w:t>
      </w:r>
      <w:r>
        <w:rPr>
          <w:rFonts w:ascii="Times New Roman" w:hAnsi="Times New Roman"/>
        </w:rPr>
        <w:t>DEC</w:t>
      </w:r>
      <w:r w:rsidR="005B2A74">
        <w:rPr>
          <w:rFonts w:ascii="Times New Roman" w:hAnsi="Times New Roman"/>
        </w:rPr>
        <w:t xml:space="preserve">, te aktivnost Ulaganje u opremu. </w:t>
      </w:r>
    </w:p>
    <w:p w14:paraId="7231E851" w14:textId="77777777" w:rsidR="000069F5" w:rsidRDefault="000069F5" w:rsidP="00655D01">
      <w:pPr>
        <w:rPr>
          <w:rFonts w:ascii="Times New Roman" w:hAnsi="Times New Roman"/>
        </w:rPr>
      </w:pPr>
    </w:p>
    <w:p w14:paraId="7FAA7285" w14:textId="7F2258CB" w:rsidR="000069F5" w:rsidRDefault="000069F5" w:rsidP="00655D01">
      <w:pPr>
        <w:rPr>
          <w:rFonts w:ascii="Times New Roman" w:hAnsi="Times New Roman"/>
        </w:rPr>
      </w:pPr>
      <w:r w:rsidRPr="000069F5">
        <w:rPr>
          <w:rFonts w:ascii="Times New Roman" w:hAnsi="Times New Roman"/>
          <w:b/>
        </w:rPr>
        <w:t>Redovna djelatnost SŠ</w:t>
      </w:r>
      <w:r>
        <w:rPr>
          <w:rFonts w:ascii="Times New Roman" w:hAnsi="Times New Roman"/>
          <w:b/>
        </w:rPr>
        <w:t xml:space="preserve"> </w:t>
      </w:r>
      <w:r w:rsidR="006D2D5D"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</w:rPr>
        <w:t xml:space="preserve"> </w:t>
      </w:r>
      <w:r w:rsidR="006D2D5D" w:rsidRPr="006D2D5D">
        <w:rPr>
          <w:rFonts w:ascii="Times New Roman" w:hAnsi="Times New Roman"/>
        </w:rPr>
        <w:t>izvršene su</w:t>
      </w:r>
      <w:r w:rsidR="006D2D5D">
        <w:rPr>
          <w:rFonts w:ascii="Times New Roman" w:hAnsi="Times New Roman"/>
          <w:b/>
        </w:rPr>
        <w:t xml:space="preserve"> </w:t>
      </w:r>
      <w:r w:rsidR="005B2A74">
        <w:rPr>
          <w:rFonts w:ascii="Times New Roman" w:hAnsi="Times New Roman"/>
        </w:rPr>
        <w:t>52,25</w:t>
      </w:r>
      <w:r w:rsidR="006D2D5D" w:rsidRPr="006D2D5D">
        <w:rPr>
          <w:rFonts w:ascii="Times New Roman" w:hAnsi="Times New Roman"/>
        </w:rPr>
        <w:t>%</w:t>
      </w:r>
      <w:r w:rsidR="006D2D5D">
        <w:rPr>
          <w:rFonts w:ascii="Times New Roman" w:hAnsi="Times New Roman"/>
          <w:b/>
        </w:rPr>
        <w:t xml:space="preserve"> </w:t>
      </w:r>
      <w:r w:rsidR="006D2D5D" w:rsidRPr="006D2D5D">
        <w:rPr>
          <w:rFonts w:ascii="Times New Roman" w:hAnsi="Times New Roman"/>
        </w:rPr>
        <w:t>u odnosu na planirano</w:t>
      </w:r>
      <w:r w:rsidR="005B2A74">
        <w:rPr>
          <w:rFonts w:ascii="Times New Roman" w:hAnsi="Times New Roman"/>
        </w:rPr>
        <w:t>. Rashodi za zaposlene su na razini 59,77% (ovisni su o rastu cijena goriva, oporezivi su pa ih je teže točno predvidjeti),</w:t>
      </w:r>
      <w:r w:rsidR="006D2D5D">
        <w:rPr>
          <w:rFonts w:ascii="Times New Roman" w:hAnsi="Times New Roman"/>
        </w:rPr>
        <w:t xml:space="preserve"> materi</w:t>
      </w:r>
      <w:r w:rsidR="00595B91">
        <w:rPr>
          <w:rFonts w:ascii="Times New Roman" w:hAnsi="Times New Roman"/>
        </w:rPr>
        <w:t>jalni rashodi realizirani su</w:t>
      </w:r>
      <w:r w:rsidR="005B2A74">
        <w:rPr>
          <w:rFonts w:ascii="Times New Roman" w:hAnsi="Times New Roman"/>
        </w:rPr>
        <w:t xml:space="preserve"> 90,83</w:t>
      </w:r>
      <w:r w:rsidR="00595B91">
        <w:rPr>
          <w:rFonts w:ascii="Times New Roman" w:hAnsi="Times New Roman"/>
        </w:rPr>
        <w:t xml:space="preserve"> %</w:t>
      </w:r>
      <w:r w:rsidR="005B2A74">
        <w:rPr>
          <w:rFonts w:ascii="Times New Roman" w:hAnsi="Times New Roman"/>
        </w:rPr>
        <w:t xml:space="preserve"> uglavnom je riječ o energentima i nije isplanirano dovoljno sredstava. Rashodi za usluge su na planiranoj razini. </w:t>
      </w:r>
      <w:r w:rsidR="00595B91">
        <w:rPr>
          <w:rFonts w:ascii="Times New Roman" w:hAnsi="Times New Roman"/>
        </w:rPr>
        <w:t xml:space="preserve">Financijski rashodi </w:t>
      </w:r>
      <w:r w:rsidR="005B2A74">
        <w:rPr>
          <w:rFonts w:ascii="Times New Roman" w:hAnsi="Times New Roman"/>
        </w:rPr>
        <w:t xml:space="preserve">28,54 </w:t>
      </w:r>
      <w:r w:rsidR="008D2EEB">
        <w:rPr>
          <w:rFonts w:ascii="Times New Roman" w:hAnsi="Times New Roman"/>
        </w:rPr>
        <w:t>%</w:t>
      </w:r>
      <w:r w:rsidR="006D2D5D">
        <w:rPr>
          <w:rFonts w:ascii="Times New Roman" w:hAnsi="Times New Roman"/>
        </w:rPr>
        <w:t xml:space="preserve"> </w:t>
      </w:r>
      <w:r w:rsidR="005B2A74">
        <w:rPr>
          <w:rFonts w:ascii="Times New Roman" w:hAnsi="Times New Roman"/>
        </w:rPr>
        <w:t xml:space="preserve">zbog ukidanja vlastitog žiroračuna i smanjenja troškova za vođenje </w:t>
      </w:r>
      <w:r w:rsidR="005B2A74">
        <w:rPr>
          <w:rFonts w:ascii="Times New Roman" w:hAnsi="Times New Roman"/>
        </w:rPr>
        <w:lastRenderedPageBreak/>
        <w:t xml:space="preserve">bankarskih usluga. </w:t>
      </w:r>
      <w:r w:rsidR="006D2D5D">
        <w:rPr>
          <w:rFonts w:ascii="Times New Roman" w:hAnsi="Times New Roman"/>
        </w:rPr>
        <w:t xml:space="preserve">Rashodi za nabavu </w:t>
      </w:r>
      <w:r w:rsidR="00301463">
        <w:rPr>
          <w:rFonts w:ascii="Times New Roman" w:hAnsi="Times New Roman"/>
        </w:rPr>
        <w:t>neproizvedene</w:t>
      </w:r>
      <w:r w:rsidR="00595B91">
        <w:rPr>
          <w:rFonts w:ascii="Times New Roman" w:hAnsi="Times New Roman"/>
        </w:rPr>
        <w:t xml:space="preserve"> dugotrajne imovine </w:t>
      </w:r>
      <w:r w:rsidR="002E013C">
        <w:rPr>
          <w:rFonts w:ascii="Times New Roman" w:hAnsi="Times New Roman"/>
        </w:rPr>
        <w:t>su 18,11 % jer je nabava računalne opreme u prvotnom planu planirana na aktivnosti koja je kasnije rebalansom u srpnju korigirana.</w:t>
      </w:r>
    </w:p>
    <w:p w14:paraId="7D9DCFF6" w14:textId="2A4019A3" w:rsidR="002E013C" w:rsidRDefault="002E013C" w:rsidP="00655D01">
      <w:pPr>
        <w:rPr>
          <w:rFonts w:ascii="Times New Roman" w:hAnsi="Times New Roman"/>
        </w:rPr>
      </w:pPr>
    </w:p>
    <w:p w14:paraId="7824530F" w14:textId="7979C3D2" w:rsidR="002E013C" w:rsidRPr="002E013C" w:rsidRDefault="002E013C" w:rsidP="00655D01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Otplata kredita </w:t>
      </w:r>
      <w:r w:rsidRPr="002E013C">
        <w:rPr>
          <w:rFonts w:ascii="Times New Roman" w:hAnsi="Times New Roman"/>
        </w:rPr>
        <w:t>odnosno rata leasinga u skladu je sa financijsk</w:t>
      </w:r>
      <w:r>
        <w:rPr>
          <w:rFonts w:ascii="Times New Roman" w:hAnsi="Times New Roman"/>
        </w:rPr>
        <w:t>im</w:t>
      </w:r>
      <w:r w:rsidRPr="002E013C">
        <w:rPr>
          <w:rFonts w:ascii="Times New Roman" w:hAnsi="Times New Roman"/>
        </w:rPr>
        <w:t xml:space="preserve"> plan</w:t>
      </w:r>
      <w:r>
        <w:rPr>
          <w:rFonts w:ascii="Times New Roman" w:hAnsi="Times New Roman"/>
        </w:rPr>
        <w:t>om.</w:t>
      </w:r>
    </w:p>
    <w:p w14:paraId="48F84556" w14:textId="77777777" w:rsidR="000069F5" w:rsidRDefault="000069F5" w:rsidP="00655D01">
      <w:pPr>
        <w:rPr>
          <w:rFonts w:ascii="Times New Roman" w:hAnsi="Times New Roman"/>
        </w:rPr>
      </w:pPr>
    </w:p>
    <w:p w14:paraId="7788D92B" w14:textId="1F944107" w:rsidR="006D2D5D" w:rsidRPr="000069F5" w:rsidRDefault="006D2D5D" w:rsidP="006D2D5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Prehrana i smještaj u Učeničkim domovima -DEC – </w:t>
      </w:r>
      <w:r>
        <w:rPr>
          <w:rFonts w:ascii="Times New Roman" w:hAnsi="Times New Roman"/>
        </w:rPr>
        <w:t>izvršeni</w:t>
      </w:r>
      <w:r w:rsidRPr="006D2D5D">
        <w:rPr>
          <w:rFonts w:ascii="Times New Roman" w:hAnsi="Times New Roman"/>
        </w:rPr>
        <w:t xml:space="preserve"> su</w:t>
      </w:r>
      <w:r>
        <w:rPr>
          <w:rFonts w:ascii="Times New Roman" w:hAnsi="Times New Roman"/>
          <w:b/>
        </w:rPr>
        <w:t xml:space="preserve"> </w:t>
      </w:r>
      <w:r w:rsidR="002E013C">
        <w:rPr>
          <w:rFonts w:ascii="Times New Roman" w:hAnsi="Times New Roman"/>
        </w:rPr>
        <w:t xml:space="preserve">56,16 </w:t>
      </w:r>
      <w:r w:rsidRPr="006D2D5D">
        <w:rPr>
          <w:rFonts w:ascii="Times New Roman" w:hAnsi="Times New Roman"/>
        </w:rPr>
        <w:t>%</w:t>
      </w:r>
      <w:r>
        <w:rPr>
          <w:rFonts w:ascii="Times New Roman" w:hAnsi="Times New Roman"/>
          <w:b/>
        </w:rPr>
        <w:t xml:space="preserve"> </w:t>
      </w:r>
      <w:r w:rsidRPr="006D2D5D">
        <w:rPr>
          <w:rFonts w:ascii="Times New Roman" w:hAnsi="Times New Roman"/>
        </w:rPr>
        <w:t>u odnosu na planirano</w:t>
      </w:r>
      <w:r>
        <w:rPr>
          <w:rFonts w:ascii="Times New Roman" w:hAnsi="Times New Roman"/>
        </w:rPr>
        <w:t>, a radi se samo o materijalnim rashodima</w:t>
      </w:r>
      <w:r w:rsidR="002E013C">
        <w:rPr>
          <w:rFonts w:ascii="Times New Roman" w:hAnsi="Times New Roman"/>
        </w:rPr>
        <w:t xml:space="preserve"> 50,13% i rashodima za usluge koji su na 70,34% zbog poskupljenje gotovo svih vrsta usluga. Dobavljači dižu cijene u skladu s inflacijom. </w:t>
      </w:r>
    </w:p>
    <w:p w14:paraId="58003A29" w14:textId="55527F94" w:rsidR="000069F5" w:rsidRPr="002E013C" w:rsidRDefault="002E013C" w:rsidP="00655D01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Ulaganje u opremu SŠ – </w:t>
      </w:r>
      <w:r w:rsidRPr="002E013C">
        <w:rPr>
          <w:rFonts w:ascii="Times New Roman" w:hAnsi="Times New Roman"/>
        </w:rPr>
        <w:t>pozici</w:t>
      </w:r>
      <w:r>
        <w:rPr>
          <w:rFonts w:ascii="Times New Roman" w:hAnsi="Times New Roman"/>
        </w:rPr>
        <w:t xml:space="preserve">ja nije uvedena u plan na ispravnu aktivnost, a realizacije je izvršena na ispravnoj aktivnost. Radi o računalnoj opremi za kabinet grafičara. Rebalansom u srpnju ova pogreška je popravljena. </w:t>
      </w:r>
    </w:p>
    <w:p w14:paraId="1BC41455" w14:textId="77777777" w:rsidR="006D2D5D" w:rsidRDefault="006D2D5D" w:rsidP="00655D01">
      <w:pPr>
        <w:rPr>
          <w:rFonts w:ascii="Times New Roman" w:hAnsi="Times New Roman"/>
        </w:rPr>
      </w:pPr>
    </w:p>
    <w:p w14:paraId="3898573C" w14:textId="35A3902B" w:rsidR="00E002D9" w:rsidRDefault="006D2D5D" w:rsidP="00655D0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Program  P17 Srednjoškolsko obrazovanje – iznad standarda </w:t>
      </w:r>
      <w:r w:rsidRPr="006D2D5D">
        <w:rPr>
          <w:rFonts w:ascii="Times New Roman" w:hAnsi="Times New Roman"/>
        </w:rPr>
        <w:t xml:space="preserve">ima nekoliko aktivnosti: </w:t>
      </w:r>
      <w:r w:rsidR="00595B91">
        <w:rPr>
          <w:rFonts w:ascii="Times New Roman" w:hAnsi="Times New Roman"/>
        </w:rPr>
        <w:t>Pomoćnik u nastavi  f</w:t>
      </w:r>
      <w:r>
        <w:rPr>
          <w:rFonts w:ascii="Times New Roman" w:hAnsi="Times New Roman"/>
        </w:rPr>
        <w:t>aza VI</w:t>
      </w:r>
      <w:r w:rsidR="00D82E48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, </w:t>
      </w:r>
      <w:r w:rsidR="002E013C">
        <w:rPr>
          <w:rFonts w:ascii="Times New Roman" w:hAnsi="Times New Roman"/>
        </w:rPr>
        <w:t xml:space="preserve">Sufinanciranje nabave knjižnične građe., </w:t>
      </w:r>
      <w:r>
        <w:rPr>
          <w:rFonts w:ascii="Times New Roman" w:hAnsi="Times New Roman"/>
        </w:rPr>
        <w:t xml:space="preserve">Županijska natjecanja, Sufinanciranje </w:t>
      </w:r>
      <w:proofErr w:type="spellStart"/>
      <w:r w:rsidR="008D2EEB">
        <w:rPr>
          <w:rFonts w:ascii="Times New Roman" w:hAnsi="Times New Roman"/>
        </w:rPr>
        <w:t>eTehničara</w:t>
      </w:r>
      <w:proofErr w:type="spellEnd"/>
      <w:r w:rsidR="008D2EEB">
        <w:rPr>
          <w:rFonts w:ascii="Times New Roman" w:hAnsi="Times New Roman"/>
        </w:rPr>
        <w:t xml:space="preserve"> i</w:t>
      </w:r>
      <w:r w:rsidR="00595B91">
        <w:rPr>
          <w:rFonts w:ascii="Times New Roman" w:hAnsi="Times New Roman"/>
        </w:rPr>
        <w:t xml:space="preserve"> Osiguranje školskih zgrada, Kulturne i javne djelatnosti škola.</w:t>
      </w:r>
    </w:p>
    <w:p w14:paraId="47577901" w14:textId="3CF540AE" w:rsidR="006D2D5D" w:rsidRDefault="006D2D5D" w:rsidP="00655D01">
      <w:pPr>
        <w:rPr>
          <w:rFonts w:ascii="Times New Roman" w:hAnsi="Times New Roman"/>
        </w:rPr>
      </w:pPr>
      <w:r>
        <w:rPr>
          <w:rFonts w:ascii="Times New Roman" w:hAnsi="Times New Roman"/>
        </w:rPr>
        <w:t>Real</w:t>
      </w:r>
      <w:r w:rsidR="002E013C">
        <w:rPr>
          <w:rFonts w:ascii="Times New Roman" w:hAnsi="Times New Roman"/>
        </w:rPr>
        <w:t>i</w:t>
      </w:r>
      <w:r>
        <w:rPr>
          <w:rFonts w:ascii="Times New Roman" w:hAnsi="Times New Roman"/>
        </w:rPr>
        <w:t>ziran je na razini 91,55% iz razloga što smo suprotno od planirano</w:t>
      </w:r>
      <w:r w:rsidR="008D2EEB">
        <w:rPr>
          <w:rFonts w:ascii="Times New Roman" w:hAnsi="Times New Roman"/>
        </w:rPr>
        <w:t>g</w:t>
      </w:r>
      <w:r>
        <w:rPr>
          <w:rFonts w:ascii="Times New Roman" w:hAnsi="Times New Roman"/>
        </w:rPr>
        <w:t xml:space="preserve"> školske zgrade osigurali u 2024. godini,</w:t>
      </w:r>
      <w:r w:rsidR="00E002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ne na kraju 2023.</w:t>
      </w:r>
    </w:p>
    <w:p w14:paraId="45217205" w14:textId="77777777" w:rsidR="009C1150" w:rsidRDefault="009C1150" w:rsidP="00655D01">
      <w:pPr>
        <w:rPr>
          <w:rFonts w:ascii="Times New Roman" w:hAnsi="Times New Roman"/>
          <w:b/>
        </w:rPr>
      </w:pPr>
    </w:p>
    <w:p w14:paraId="2F201424" w14:textId="52ABBF5F" w:rsidR="00E002D9" w:rsidRDefault="00E002D9" w:rsidP="00655D0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Aktivnosti P</w:t>
      </w:r>
      <w:r w:rsidR="006D2D5D" w:rsidRPr="00E002D9">
        <w:rPr>
          <w:rFonts w:ascii="Times New Roman" w:hAnsi="Times New Roman"/>
          <w:b/>
        </w:rPr>
        <w:t>omoćnik u nas</w:t>
      </w:r>
      <w:r w:rsidRPr="00E002D9">
        <w:rPr>
          <w:rFonts w:ascii="Times New Roman" w:hAnsi="Times New Roman"/>
          <w:b/>
        </w:rPr>
        <w:t>tavi</w:t>
      </w:r>
      <w:r w:rsidR="006D2D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i </w:t>
      </w:r>
      <w:r w:rsidR="006D2D5D">
        <w:rPr>
          <w:rFonts w:ascii="Times New Roman" w:hAnsi="Times New Roman"/>
        </w:rPr>
        <w:t>realiziran</w:t>
      </w:r>
      <w:r>
        <w:rPr>
          <w:rFonts w:ascii="Times New Roman" w:hAnsi="Times New Roman"/>
        </w:rPr>
        <w:t xml:space="preserve">i su </w:t>
      </w:r>
      <w:r w:rsidR="00595B91">
        <w:rPr>
          <w:rFonts w:ascii="Times New Roman" w:hAnsi="Times New Roman"/>
        </w:rPr>
        <w:t xml:space="preserve"> </w:t>
      </w:r>
      <w:r w:rsidR="002E013C">
        <w:rPr>
          <w:rFonts w:ascii="Times New Roman" w:hAnsi="Times New Roman"/>
        </w:rPr>
        <w:t xml:space="preserve">78,32 </w:t>
      </w:r>
      <w:r w:rsidR="006D2D5D">
        <w:rPr>
          <w:rFonts w:ascii="Times New Roman" w:hAnsi="Times New Roman"/>
        </w:rPr>
        <w:t xml:space="preserve">% od planiranog. </w:t>
      </w:r>
      <w:r w:rsidR="00A4783C">
        <w:rPr>
          <w:rFonts w:ascii="Times New Roman" w:hAnsi="Times New Roman"/>
        </w:rPr>
        <w:t>Rebalansom će biti napravljena preraspodjela sredstava.</w:t>
      </w:r>
      <w:r w:rsidR="002E013C">
        <w:rPr>
          <w:rFonts w:ascii="Times New Roman" w:hAnsi="Times New Roman"/>
        </w:rPr>
        <w:t xml:space="preserve"> Prihodi i rashodi </w:t>
      </w:r>
      <w:r w:rsidR="001001D2">
        <w:rPr>
          <w:rFonts w:ascii="Times New Roman" w:hAnsi="Times New Roman"/>
        </w:rPr>
        <w:t xml:space="preserve">u planu napravljeni su na bazi podataka iz prethodnike projekata. U ovoj godini projekt se mijenjao i promijenjeni su uvjeti rada pomoćnika u nastavi od poboljšanja materijalnih uvjeta do samog trajanja ugovora o radu. </w:t>
      </w:r>
    </w:p>
    <w:p w14:paraId="7DB57A90" w14:textId="77777777" w:rsidR="00E002D9" w:rsidRDefault="00E002D9" w:rsidP="00655D01">
      <w:pPr>
        <w:rPr>
          <w:rFonts w:ascii="Times New Roman" w:hAnsi="Times New Roman"/>
        </w:rPr>
      </w:pPr>
    </w:p>
    <w:p w14:paraId="362BD7E8" w14:textId="521A072D" w:rsidR="00E002D9" w:rsidRDefault="00E002D9" w:rsidP="00655D01">
      <w:pPr>
        <w:rPr>
          <w:rFonts w:ascii="Times New Roman" w:hAnsi="Times New Roman"/>
        </w:rPr>
      </w:pPr>
      <w:r>
        <w:rPr>
          <w:rFonts w:ascii="Times New Roman" w:hAnsi="Times New Roman"/>
        </w:rPr>
        <w:t>Pomoćnik u na</w:t>
      </w:r>
      <w:r w:rsidR="000E7F16">
        <w:rPr>
          <w:rFonts w:ascii="Times New Roman" w:hAnsi="Times New Roman"/>
        </w:rPr>
        <w:t>stavi financiran je iz više izvora</w:t>
      </w:r>
      <w:r w:rsidR="001001D2">
        <w:rPr>
          <w:rFonts w:ascii="Times New Roman" w:hAnsi="Times New Roman"/>
        </w:rPr>
        <w:t xml:space="preserve">, a rebalansom u srpnju korigirat će se nepravilnosti iz plana. </w:t>
      </w:r>
      <w:r w:rsidR="00A4783C">
        <w:rPr>
          <w:rFonts w:ascii="Times New Roman" w:hAnsi="Times New Roman"/>
        </w:rPr>
        <w:t xml:space="preserve"> </w:t>
      </w:r>
    </w:p>
    <w:p w14:paraId="4B06A0D8" w14:textId="21422545" w:rsidR="000E7F16" w:rsidRDefault="000E7F16" w:rsidP="00655D01">
      <w:pPr>
        <w:rPr>
          <w:rFonts w:ascii="Times New Roman" w:hAnsi="Times New Roman"/>
        </w:rPr>
      </w:pPr>
    </w:p>
    <w:p w14:paraId="019C7ED8" w14:textId="3C1A3C63" w:rsidR="001001D2" w:rsidRDefault="001001D2" w:rsidP="00655D01">
      <w:pPr>
        <w:rPr>
          <w:rFonts w:ascii="Times New Roman" w:hAnsi="Times New Roman"/>
        </w:rPr>
      </w:pPr>
      <w:r w:rsidRPr="001001D2">
        <w:rPr>
          <w:rFonts w:ascii="Times New Roman" w:hAnsi="Times New Roman"/>
          <w:b/>
          <w:bCs/>
        </w:rPr>
        <w:t>Aktivnost Sufinanciranje nabave knjižnične građe</w:t>
      </w:r>
      <w:r>
        <w:rPr>
          <w:rFonts w:ascii="Times New Roman" w:hAnsi="Times New Roman"/>
          <w:b/>
          <w:bCs/>
        </w:rPr>
        <w:t xml:space="preserve"> </w:t>
      </w:r>
      <w:r w:rsidRPr="001001D2">
        <w:rPr>
          <w:rFonts w:ascii="Times New Roman" w:hAnsi="Times New Roman"/>
        </w:rPr>
        <w:t>još nije realiziran</w:t>
      </w:r>
      <w:r>
        <w:rPr>
          <w:rFonts w:ascii="Times New Roman" w:hAnsi="Times New Roman"/>
        </w:rPr>
        <w:t xml:space="preserve">, biti će </w:t>
      </w:r>
      <w:r w:rsidR="00A116CD">
        <w:rPr>
          <w:rFonts w:ascii="Times New Roman" w:hAnsi="Times New Roman"/>
        </w:rPr>
        <w:t>realiziran</w:t>
      </w:r>
      <w:r>
        <w:rPr>
          <w:rFonts w:ascii="Times New Roman" w:hAnsi="Times New Roman"/>
        </w:rPr>
        <w:t xml:space="preserve"> u sljedećoj školskoj godini jer je tijekom studenog nabavna cijena nešto niža. </w:t>
      </w:r>
    </w:p>
    <w:p w14:paraId="50FBA9F1" w14:textId="77777777" w:rsidR="001001D2" w:rsidRPr="001001D2" w:rsidRDefault="001001D2" w:rsidP="00655D01">
      <w:pPr>
        <w:rPr>
          <w:rFonts w:ascii="Times New Roman" w:hAnsi="Times New Roman"/>
          <w:b/>
          <w:bCs/>
        </w:rPr>
      </w:pPr>
    </w:p>
    <w:p w14:paraId="585555D5" w14:textId="0C0C6FA0" w:rsidR="000E7F16" w:rsidRDefault="000E7F16" w:rsidP="00655D01">
      <w:pPr>
        <w:rPr>
          <w:rFonts w:ascii="Times New Roman" w:hAnsi="Times New Roman"/>
        </w:rPr>
      </w:pPr>
      <w:r w:rsidRPr="000E7F16">
        <w:rPr>
          <w:rFonts w:ascii="Times New Roman" w:hAnsi="Times New Roman"/>
          <w:b/>
        </w:rPr>
        <w:t>Aktivnost Županijska natjecanja</w:t>
      </w:r>
      <w:r>
        <w:rPr>
          <w:rFonts w:ascii="Times New Roman" w:hAnsi="Times New Roman"/>
          <w:b/>
        </w:rPr>
        <w:t xml:space="preserve"> </w:t>
      </w:r>
      <w:r w:rsidR="00A4783C">
        <w:rPr>
          <w:rFonts w:ascii="Times New Roman" w:hAnsi="Times New Roman"/>
        </w:rPr>
        <w:t xml:space="preserve">realiziran je </w:t>
      </w:r>
      <w:r w:rsidR="001001D2">
        <w:rPr>
          <w:rFonts w:ascii="Times New Roman" w:hAnsi="Times New Roman"/>
        </w:rPr>
        <w:t>43,68</w:t>
      </w:r>
      <w:r w:rsidRPr="000E7F16">
        <w:rPr>
          <w:rFonts w:ascii="Times New Roman" w:hAnsi="Times New Roman"/>
        </w:rPr>
        <w:t xml:space="preserve">%. Korištena su </w:t>
      </w:r>
      <w:r w:rsidR="001001D2">
        <w:rPr>
          <w:rFonts w:ascii="Times New Roman" w:hAnsi="Times New Roman"/>
        </w:rPr>
        <w:t>jedan</w:t>
      </w:r>
      <w:r w:rsidRPr="000E7F16">
        <w:rPr>
          <w:rFonts w:ascii="Times New Roman" w:hAnsi="Times New Roman"/>
        </w:rPr>
        <w:t xml:space="preserve"> izvor 15 iz koj</w:t>
      </w:r>
      <w:r w:rsidR="001001D2">
        <w:rPr>
          <w:rFonts w:ascii="Times New Roman" w:hAnsi="Times New Roman"/>
        </w:rPr>
        <w:t>eg</w:t>
      </w:r>
      <w:r w:rsidRPr="000E7F16">
        <w:rPr>
          <w:rFonts w:ascii="Times New Roman" w:hAnsi="Times New Roman"/>
        </w:rPr>
        <w:t xml:space="preserve"> su financirani materijalni</w:t>
      </w:r>
      <w:r>
        <w:rPr>
          <w:rFonts w:ascii="Times New Roman" w:hAnsi="Times New Roman"/>
          <w:b/>
        </w:rPr>
        <w:t xml:space="preserve"> </w:t>
      </w:r>
      <w:r w:rsidRPr="000E7F16">
        <w:rPr>
          <w:rFonts w:ascii="Times New Roman" w:hAnsi="Times New Roman"/>
        </w:rPr>
        <w:t>rashodi</w:t>
      </w:r>
      <w:r w:rsidR="001001D2">
        <w:rPr>
          <w:rFonts w:ascii="Times New Roman" w:hAnsi="Times New Roman"/>
        </w:rPr>
        <w:t xml:space="preserve"> i rashodi za zaposlene</w:t>
      </w:r>
      <w:r w:rsidRPr="000E7F16">
        <w:rPr>
          <w:rFonts w:ascii="Times New Roman" w:hAnsi="Times New Roman"/>
        </w:rPr>
        <w:t>.</w:t>
      </w:r>
    </w:p>
    <w:p w14:paraId="5CCAC4A3" w14:textId="77777777" w:rsidR="000E7F16" w:rsidRDefault="000E7F16" w:rsidP="00655D01">
      <w:pPr>
        <w:rPr>
          <w:rFonts w:ascii="Times New Roman" w:hAnsi="Times New Roman"/>
        </w:rPr>
      </w:pPr>
    </w:p>
    <w:p w14:paraId="69E68F82" w14:textId="6938512E" w:rsidR="000E7F16" w:rsidRDefault="000E7F16" w:rsidP="00655D01">
      <w:pPr>
        <w:rPr>
          <w:rFonts w:ascii="Times New Roman" w:hAnsi="Times New Roman"/>
        </w:rPr>
      </w:pPr>
      <w:r w:rsidRPr="000E7F16">
        <w:rPr>
          <w:rFonts w:ascii="Times New Roman" w:hAnsi="Times New Roman"/>
          <w:b/>
        </w:rPr>
        <w:t>Aktivnost E-tehničar</w:t>
      </w:r>
      <w:r w:rsidR="00A4783C">
        <w:rPr>
          <w:rFonts w:ascii="Times New Roman" w:hAnsi="Times New Roman"/>
        </w:rPr>
        <w:t xml:space="preserve"> izvršena je 4</w:t>
      </w:r>
      <w:r w:rsidR="001001D2">
        <w:rPr>
          <w:rFonts w:ascii="Times New Roman" w:hAnsi="Times New Roman"/>
        </w:rPr>
        <w:t>6,62</w:t>
      </w:r>
      <w:r>
        <w:rPr>
          <w:rFonts w:ascii="Times New Roman" w:hAnsi="Times New Roman"/>
        </w:rPr>
        <w:t xml:space="preserve">% </w:t>
      </w:r>
      <w:r w:rsidR="00A4783C">
        <w:rPr>
          <w:rFonts w:ascii="Times New Roman" w:hAnsi="Times New Roman"/>
        </w:rPr>
        <w:t>u odnosu na tekući plan</w:t>
      </w:r>
      <w:r>
        <w:rPr>
          <w:rFonts w:ascii="Times New Roman" w:hAnsi="Times New Roman"/>
        </w:rPr>
        <w:t xml:space="preserve">i financirane su računalne usluge. </w:t>
      </w:r>
      <w:r w:rsidR="00A4783C">
        <w:rPr>
          <w:rFonts w:ascii="Times New Roman" w:hAnsi="Times New Roman"/>
        </w:rPr>
        <w:t>U odnosu na prethodno razdoblje 202</w:t>
      </w:r>
      <w:r w:rsidR="001001D2">
        <w:rPr>
          <w:rFonts w:ascii="Times New Roman" w:hAnsi="Times New Roman"/>
        </w:rPr>
        <w:t>5</w:t>
      </w:r>
      <w:r w:rsidR="00A4783C">
        <w:rPr>
          <w:rFonts w:ascii="Times New Roman" w:hAnsi="Times New Roman"/>
        </w:rPr>
        <w:t>. izvršen je 100%.</w:t>
      </w:r>
    </w:p>
    <w:p w14:paraId="4D1C5674" w14:textId="77777777" w:rsidR="000E7F16" w:rsidRDefault="000E7F16" w:rsidP="00655D01">
      <w:pPr>
        <w:rPr>
          <w:rFonts w:ascii="Times New Roman" w:hAnsi="Times New Roman"/>
        </w:rPr>
      </w:pPr>
    </w:p>
    <w:p w14:paraId="10BC1A3B" w14:textId="0CFA1144" w:rsidR="00A4783C" w:rsidRDefault="000E7F16" w:rsidP="00655D01">
      <w:pPr>
        <w:rPr>
          <w:rFonts w:ascii="Times New Roman" w:hAnsi="Times New Roman"/>
        </w:rPr>
      </w:pPr>
      <w:r w:rsidRPr="000E7F16">
        <w:rPr>
          <w:rFonts w:ascii="Times New Roman" w:hAnsi="Times New Roman"/>
          <w:b/>
        </w:rPr>
        <w:t>Aktivnost osiguranja školskih zgrada</w:t>
      </w:r>
      <w:r>
        <w:rPr>
          <w:rFonts w:ascii="Times New Roman" w:hAnsi="Times New Roman"/>
        </w:rPr>
        <w:t xml:space="preserve"> </w:t>
      </w:r>
      <w:r w:rsidR="00A4783C">
        <w:rPr>
          <w:rFonts w:ascii="Times New Roman" w:hAnsi="Times New Roman"/>
        </w:rPr>
        <w:t xml:space="preserve">ostvarena je </w:t>
      </w:r>
      <w:r w:rsidR="001001D2">
        <w:rPr>
          <w:rFonts w:ascii="Times New Roman" w:hAnsi="Times New Roman"/>
        </w:rPr>
        <w:t>85,58</w:t>
      </w:r>
      <w:r w:rsidR="00A4783C">
        <w:rPr>
          <w:rFonts w:ascii="Times New Roman" w:hAnsi="Times New Roman"/>
        </w:rPr>
        <w:t xml:space="preserve">% od planiranog, </w:t>
      </w:r>
      <w:r w:rsidR="001001D2">
        <w:rPr>
          <w:rFonts w:ascii="Times New Roman" w:hAnsi="Times New Roman"/>
        </w:rPr>
        <w:t xml:space="preserve">postupkom jednostavne nabave osigurana je niža cijena od planirane. </w:t>
      </w:r>
    </w:p>
    <w:p w14:paraId="70751EBD" w14:textId="77777777" w:rsidR="001001D2" w:rsidRDefault="001001D2" w:rsidP="00655D01">
      <w:pPr>
        <w:rPr>
          <w:rFonts w:ascii="Times New Roman" w:hAnsi="Times New Roman"/>
        </w:rPr>
      </w:pPr>
    </w:p>
    <w:p w14:paraId="1B4712DE" w14:textId="5AD42E2C" w:rsidR="00A4783C" w:rsidRDefault="00A4783C" w:rsidP="00655D01">
      <w:pPr>
        <w:rPr>
          <w:rFonts w:ascii="Times New Roman" w:hAnsi="Times New Roman"/>
        </w:rPr>
      </w:pPr>
      <w:r w:rsidRPr="00A4783C">
        <w:rPr>
          <w:rFonts w:ascii="Times New Roman" w:hAnsi="Times New Roman"/>
          <w:b/>
        </w:rPr>
        <w:t>Aktivnost Kulturne i javne</w:t>
      </w:r>
      <w:r>
        <w:rPr>
          <w:rFonts w:ascii="Times New Roman" w:hAnsi="Times New Roman"/>
        </w:rPr>
        <w:t xml:space="preserve"> djelatnosti realizirana</w:t>
      </w:r>
      <w:r w:rsidR="001001D2">
        <w:rPr>
          <w:rFonts w:ascii="Times New Roman" w:hAnsi="Times New Roman"/>
        </w:rPr>
        <w:t xml:space="preserve"> je 66,71% i sa realizacijom će se nastaviti tokom iduće školske godine</w:t>
      </w:r>
      <w:r>
        <w:rPr>
          <w:rFonts w:ascii="Times New Roman" w:hAnsi="Times New Roman"/>
        </w:rPr>
        <w:t xml:space="preserve">. </w:t>
      </w:r>
    </w:p>
    <w:p w14:paraId="10AB826D" w14:textId="77777777" w:rsidR="000E7F16" w:rsidRPr="000E7F16" w:rsidRDefault="000E7F16" w:rsidP="00655D01">
      <w:pPr>
        <w:rPr>
          <w:rFonts w:ascii="Times New Roman" w:hAnsi="Times New Roman"/>
          <w:b/>
        </w:rPr>
      </w:pPr>
    </w:p>
    <w:p w14:paraId="7A88FF8F" w14:textId="77777777" w:rsidR="00443AB6" w:rsidRDefault="00443AB6" w:rsidP="00655D01">
      <w:pPr>
        <w:rPr>
          <w:rFonts w:ascii="Times New Roman" w:hAnsi="Times New Roman"/>
        </w:rPr>
      </w:pPr>
    </w:p>
    <w:p w14:paraId="4584E2E4" w14:textId="77777777" w:rsidR="006F4E7F" w:rsidRDefault="006F4E7F" w:rsidP="009C1150">
      <w:pPr>
        <w:jc w:val="both"/>
        <w:rPr>
          <w:rFonts w:ascii="Times New Roman" w:hAnsi="Times New Roman"/>
        </w:rPr>
      </w:pPr>
    </w:p>
    <w:p w14:paraId="45BD03E0" w14:textId="77777777" w:rsidR="006F4E7F" w:rsidRDefault="006F4E7F" w:rsidP="009C1150">
      <w:pPr>
        <w:jc w:val="both"/>
        <w:rPr>
          <w:rFonts w:ascii="Times New Roman" w:hAnsi="Times New Roman"/>
        </w:rPr>
      </w:pPr>
    </w:p>
    <w:p w14:paraId="6B01AC2A" w14:textId="77777777" w:rsidR="006F4E7F" w:rsidRDefault="006F4E7F" w:rsidP="009C1150">
      <w:pPr>
        <w:jc w:val="both"/>
        <w:rPr>
          <w:rFonts w:ascii="Times New Roman" w:hAnsi="Times New Roman"/>
        </w:rPr>
      </w:pPr>
    </w:p>
    <w:p w14:paraId="5FAEECB8" w14:textId="77777777" w:rsidR="006F4E7F" w:rsidRDefault="006F4E7F" w:rsidP="009C1150">
      <w:pPr>
        <w:jc w:val="both"/>
        <w:rPr>
          <w:rFonts w:ascii="Times New Roman" w:hAnsi="Times New Roman"/>
        </w:rPr>
      </w:pPr>
    </w:p>
    <w:p w14:paraId="74C10709" w14:textId="3A36B447" w:rsidR="009C1150" w:rsidRDefault="009C1150" w:rsidP="009C115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Proračunski korisnik, Srednja škola ˝August Šenoa˝ Garešnica </w:t>
      </w:r>
      <w:r w:rsidR="007E1DBD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ije koristila sredstva fondova Europske unije. Nema danih zajmova i potraživanja po danim zajmovima. Nema potencijalnih obveza po sudskim sporovima, niti danih jamstava i plaćanja po protestiranim jamstvima. </w:t>
      </w:r>
    </w:p>
    <w:p w14:paraId="09D28A26" w14:textId="77777777" w:rsidR="006F4E7F" w:rsidRDefault="006F4E7F" w:rsidP="00655D01">
      <w:pPr>
        <w:rPr>
          <w:rFonts w:ascii="Times New Roman" w:hAnsi="Times New Roman"/>
        </w:rPr>
      </w:pPr>
    </w:p>
    <w:p w14:paraId="2D429DDC" w14:textId="15416BD5" w:rsidR="001F6FB5" w:rsidRDefault="001F6FB5" w:rsidP="00655D01">
      <w:pPr>
        <w:rPr>
          <w:rFonts w:ascii="Times New Roman" w:hAnsi="Times New Roman"/>
        </w:rPr>
      </w:pPr>
      <w:r>
        <w:rPr>
          <w:rFonts w:ascii="Times New Roman" w:hAnsi="Times New Roman"/>
        </w:rPr>
        <w:t>Tablica potraživanja i dospjelih obveza:</w:t>
      </w:r>
    </w:p>
    <w:p w14:paraId="6FAED7C3" w14:textId="77777777" w:rsidR="006D2D5D" w:rsidRDefault="006D2D5D" w:rsidP="00655D01">
      <w:pPr>
        <w:rPr>
          <w:rFonts w:ascii="Times New Roman" w:hAnsi="Times New Roman"/>
          <w:b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498"/>
        <w:gridCol w:w="6498"/>
      </w:tblGrid>
      <w:tr w:rsidR="009C1150" w14:paraId="0E52110B" w14:textId="77777777" w:rsidTr="009C1150">
        <w:trPr>
          <w:jc w:val="center"/>
        </w:trPr>
        <w:tc>
          <w:tcPr>
            <w:tcW w:w="6498" w:type="dxa"/>
            <w:shd w:val="clear" w:color="auto" w:fill="D9D9D9" w:themeFill="background1" w:themeFillShade="D9"/>
          </w:tcPr>
          <w:p w14:paraId="219841B0" w14:textId="77777777" w:rsidR="009C1150" w:rsidRPr="009C1150" w:rsidRDefault="009C1150" w:rsidP="00655D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1150">
              <w:rPr>
                <w:rFonts w:ascii="Arial" w:hAnsi="Arial" w:cs="Arial"/>
                <w:b/>
                <w:sz w:val="20"/>
                <w:szCs w:val="20"/>
              </w:rPr>
              <w:t>SREDNJA ŠKOLA ˝AUGUST ŠENOA˝ GAREŠNICA  - 18872</w:t>
            </w:r>
          </w:p>
        </w:tc>
        <w:tc>
          <w:tcPr>
            <w:tcW w:w="6498" w:type="dxa"/>
            <w:vMerge w:val="restart"/>
            <w:shd w:val="clear" w:color="auto" w:fill="D9D9D9" w:themeFill="background1" w:themeFillShade="D9"/>
            <w:vAlign w:val="center"/>
          </w:tcPr>
          <w:p w14:paraId="691CBB80" w14:textId="1504AF5F" w:rsidR="009C1150" w:rsidRPr="009C1150" w:rsidRDefault="007E1DBD" w:rsidP="009C11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STANJE NA 30.06.202</w:t>
            </w:r>
            <w:r w:rsidR="00B440F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9C1150" w:rsidRPr="009C115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9C1150" w14:paraId="02F77DDA" w14:textId="77777777" w:rsidTr="009C1150">
        <w:trPr>
          <w:jc w:val="center"/>
        </w:trPr>
        <w:tc>
          <w:tcPr>
            <w:tcW w:w="6498" w:type="dxa"/>
            <w:shd w:val="clear" w:color="auto" w:fill="D9D9D9" w:themeFill="background1" w:themeFillShade="D9"/>
          </w:tcPr>
          <w:p w14:paraId="7D6489EA" w14:textId="77777777" w:rsidR="009C1150" w:rsidRPr="009C1150" w:rsidRDefault="009C1150" w:rsidP="009C11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150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6498" w:type="dxa"/>
            <w:vMerge/>
            <w:shd w:val="clear" w:color="auto" w:fill="D9D9D9" w:themeFill="background1" w:themeFillShade="D9"/>
          </w:tcPr>
          <w:p w14:paraId="150BDBAF" w14:textId="77777777" w:rsidR="009C1150" w:rsidRPr="009C1150" w:rsidRDefault="009C1150" w:rsidP="00655D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150" w14:paraId="67CB6BB9" w14:textId="77777777" w:rsidTr="009C1150">
        <w:trPr>
          <w:jc w:val="center"/>
        </w:trPr>
        <w:tc>
          <w:tcPr>
            <w:tcW w:w="6498" w:type="dxa"/>
          </w:tcPr>
          <w:p w14:paraId="6BA3CD4A" w14:textId="77777777" w:rsidR="009C1150" w:rsidRPr="009C1150" w:rsidRDefault="009C1150" w:rsidP="00655D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Nenaplaćena potraživanja</w:t>
            </w:r>
          </w:p>
        </w:tc>
        <w:tc>
          <w:tcPr>
            <w:tcW w:w="6498" w:type="dxa"/>
          </w:tcPr>
          <w:p w14:paraId="06077977" w14:textId="5A687198" w:rsidR="009C1150" w:rsidRPr="009C1150" w:rsidRDefault="00B440F5" w:rsidP="001B45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166.187,78</w:t>
            </w:r>
            <w:r w:rsidR="001B458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B4587">
              <w:rPr>
                <w:rFonts w:ascii="Arial" w:hAnsi="Arial" w:cs="Arial"/>
                <w:sz w:val="20"/>
                <w:szCs w:val="20"/>
              </w:rPr>
              <w:t>eur</w:t>
            </w:r>
            <w:proofErr w:type="spellEnd"/>
          </w:p>
        </w:tc>
      </w:tr>
      <w:tr w:rsidR="009C1150" w14:paraId="57FFE779" w14:textId="77777777" w:rsidTr="009C1150">
        <w:trPr>
          <w:jc w:val="center"/>
        </w:trPr>
        <w:tc>
          <w:tcPr>
            <w:tcW w:w="6498" w:type="dxa"/>
          </w:tcPr>
          <w:p w14:paraId="01F07978" w14:textId="77777777" w:rsidR="009C1150" w:rsidRPr="009C1150" w:rsidRDefault="007E1DBD" w:rsidP="00655D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Dospjele</w:t>
            </w:r>
            <w:r w:rsidR="009C1150">
              <w:rPr>
                <w:rFonts w:ascii="Arial" w:hAnsi="Arial" w:cs="Arial"/>
                <w:sz w:val="20"/>
                <w:szCs w:val="20"/>
              </w:rPr>
              <w:t xml:space="preserve"> obveze</w:t>
            </w:r>
          </w:p>
        </w:tc>
        <w:tc>
          <w:tcPr>
            <w:tcW w:w="6498" w:type="dxa"/>
          </w:tcPr>
          <w:p w14:paraId="01709B3B" w14:textId="77777777" w:rsidR="009C1150" w:rsidRPr="009C1150" w:rsidRDefault="009C1150" w:rsidP="009C11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C1150" w14:paraId="023E797B" w14:textId="77777777" w:rsidTr="009C1150">
        <w:trPr>
          <w:jc w:val="center"/>
        </w:trPr>
        <w:tc>
          <w:tcPr>
            <w:tcW w:w="6498" w:type="dxa"/>
          </w:tcPr>
          <w:p w14:paraId="0F5FF0E9" w14:textId="77777777" w:rsidR="009C1150" w:rsidRPr="009C1150" w:rsidRDefault="009C1150" w:rsidP="00655D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Potencijalne obveze po sudskim sporovima </w:t>
            </w:r>
          </w:p>
        </w:tc>
        <w:tc>
          <w:tcPr>
            <w:tcW w:w="6498" w:type="dxa"/>
          </w:tcPr>
          <w:p w14:paraId="6EA9C6DA" w14:textId="7D570404" w:rsidR="009C1150" w:rsidRPr="009C1150" w:rsidRDefault="00B440F5" w:rsidP="009C11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31C726E5" w14:textId="463356F9" w:rsidR="000069F5" w:rsidRDefault="000069F5" w:rsidP="00655D01">
      <w:pPr>
        <w:rPr>
          <w:rFonts w:ascii="Times New Roman" w:hAnsi="Times New Roman"/>
        </w:rPr>
      </w:pPr>
    </w:p>
    <w:p w14:paraId="10C7E347" w14:textId="7BDFA4A7" w:rsidR="0076212A" w:rsidRDefault="0076212A" w:rsidP="00655D01">
      <w:pPr>
        <w:rPr>
          <w:rFonts w:ascii="Times New Roman" w:hAnsi="Times New Roman"/>
        </w:rPr>
      </w:pPr>
      <w:r>
        <w:rPr>
          <w:rFonts w:ascii="Times New Roman" w:hAnsi="Times New Roman"/>
        </w:rPr>
        <w:t>U nenaplaćena potraživanja spadaju i potraživanja za plaće za mjesec lipanj i do ove godine se nisu iskazivala u financijskim izvješćima. Ta potraživanja u trenutku sastavljanja</w:t>
      </w:r>
      <w:r w:rsidR="009F26D2">
        <w:rPr>
          <w:rFonts w:ascii="Times New Roman" w:hAnsi="Times New Roman"/>
        </w:rPr>
        <w:t xml:space="preserve"> izvješća</w:t>
      </w:r>
      <w:r>
        <w:rPr>
          <w:rFonts w:ascii="Times New Roman" w:hAnsi="Times New Roman"/>
        </w:rPr>
        <w:t xml:space="preserve"> nisu dospjela</w:t>
      </w:r>
      <w:r w:rsidR="009F26D2">
        <w:rPr>
          <w:rFonts w:ascii="Times New Roman" w:hAnsi="Times New Roman"/>
        </w:rPr>
        <w:t xml:space="preserve"> (biti će zatvorene tokom srpnja na dan isplate plaća)</w:t>
      </w:r>
      <w:r>
        <w:rPr>
          <w:rFonts w:ascii="Times New Roman" w:hAnsi="Times New Roman"/>
        </w:rPr>
        <w:t>. Ostatak potraživanja su djelomično dospjela, za dio njih pokrenut je postupak prisilne naplate.</w:t>
      </w:r>
      <w:r w:rsidR="00D747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Dio potraživanja nije dospio. Najvećim djelom radi se o potraživanjima za smještaj učenika u domu.</w:t>
      </w:r>
    </w:p>
    <w:p w14:paraId="54027A7C" w14:textId="77777777" w:rsidR="0076212A" w:rsidRDefault="0076212A" w:rsidP="00655D01">
      <w:pPr>
        <w:rPr>
          <w:rFonts w:ascii="Times New Roman" w:hAnsi="Times New Roman"/>
        </w:rPr>
      </w:pPr>
    </w:p>
    <w:p w14:paraId="402BF669" w14:textId="77777777" w:rsidR="000069F5" w:rsidRDefault="00F34C97" w:rsidP="00655D01">
      <w:pPr>
        <w:rPr>
          <w:rFonts w:ascii="Times New Roman" w:hAnsi="Times New Roman"/>
        </w:rPr>
      </w:pPr>
      <w:r>
        <w:rPr>
          <w:rFonts w:ascii="Times New Roman" w:hAnsi="Times New Roman"/>
        </w:rPr>
        <w:t>Tablica zaduženja</w:t>
      </w:r>
      <w:r w:rsidR="001F6FB5">
        <w:rPr>
          <w:rFonts w:ascii="Times New Roman" w:hAnsi="Times New Roman"/>
        </w:rPr>
        <w:t xml:space="preserve">: </w:t>
      </w:r>
    </w:p>
    <w:p w14:paraId="7198F51B" w14:textId="77777777" w:rsidR="005E0D44" w:rsidRDefault="005E0D44" w:rsidP="00655D01">
      <w:pPr>
        <w:rPr>
          <w:rFonts w:ascii="Times New Roman" w:hAnsi="Times New Roman"/>
        </w:rPr>
      </w:pPr>
    </w:p>
    <w:tbl>
      <w:tblPr>
        <w:tblW w:w="12895" w:type="dxa"/>
        <w:tblInd w:w="595" w:type="dxa"/>
        <w:tblLook w:val="04A0" w:firstRow="1" w:lastRow="0" w:firstColumn="1" w:lastColumn="0" w:noHBand="0" w:noVBand="1"/>
      </w:tblPr>
      <w:tblGrid>
        <w:gridCol w:w="1060"/>
        <w:gridCol w:w="1622"/>
        <w:gridCol w:w="2785"/>
        <w:gridCol w:w="960"/>
        <w:gridCol w:w="1460"/>
        <w:gridCol w:w="1606"/>
        <w:gridCol w:w="1984"/>
        <w:gridCol w:w="1418"/>
      </w:tblGrid>
      <w:tr w:rsidR="005E0D44" w:rsidRPr="005E0D44" w14:paraId="5EB628AB" w14:textId="77777777" w:rsidTr="006F4E7F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FA48" w14:textId="77777777" w:rsidR="005E0D44" w:rsidRPr="005E0D44" w:rsidRDefault="005E0D44" w:rsidP="005E0D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E0D4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Redni broj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5E2B" w14:textId="77777777" w:rsidR="005E0D44" w:rsidRPr="005E0D44" w:rsidRDefault="005E0D44" w:rsidP="005E0D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E0D4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Vrsta instrumenta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7270" w14:textId="77777777" w:rsidR="005E0D44" w:rsidRPr="005E0D44" w:rsidRDefault="005E0D44" w:rsidP="005E0D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E0D4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Banka/MFI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EBDB" w14:textId="77777777" w:rsidR="005E0D44" w:rsidRPr="005E0D44" w:rsidRDefault="005E0D44" w:rsidP="005E0D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E0D4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Valuta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2119" w14:textId="77777777" w:rsidR="005E0D44" w:rsidRPr="005E0D44" w:rsidRDefault="005E0D44" w:rsidP="005E0D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E0D4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Ugovoreni iznos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B58A" w14:textId="77777777" w:rsidR="005E0D44" w:rsidRPr="005E0D44" w:rsidRDefault="005E0D44" w:rsidP="005E0D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E0D4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Kamatna stopa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59E7" w14:textId="77777777" w:rsidR="005E0D44" w:rsidRPr="005E0D44" w:rsidRDefault="005E0D44" w:rsidP="005E0D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E0D4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Datum otplate posljednje rate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ECE7" w14:textId="77777777" w:rsidR="005E0D44" w:rsidRPr="005E0D44" w:rsidRDefault="005E0D44" w:rsidP="005E0D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E0D4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Broj rata</w:t>
            </w:r>
          </w:p>
        </w:tc>
      </w:tr>
      <w:tr w:rsidR="005E0D44" w:rsidRPr="005E0D44" w14:paraId="12739E57" w14:textId="77777777" w:rsidTr="006F4E7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FE4B" w14:textId="77777777" w:rsidR="005E0D44" w:rsidRPr="005E0D44" w:rsidRDefault="005E0D44" w:rsidP="005E0D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E0D4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3260" w14:textId="77777777" w:rsidR="005E0D44" w:rsidRPr="005E0D44" w:rsidRDefault="005E0D44" w:rsidP="005E0D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44">
              <w:rPr>
                <w:rFonts w:ascii="Calibri" w:hAnsi="Calibri"/>
                <w:color w:val="000000"/>
                <w:sz w:val="22"/>
                <w:szCs w:val="22"/>
              </w:rPr>
              <w:t>Financijski leasing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7061" w14:textId="77777777" w:rsidR="005E0D44" w:rsidRPr="005E0D44" w:rsidRDefault="005E0D44" w:rsidP="005E0D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44">
              <w:rPr>
                <w:rFonts w:ascii="Calibri" w:hAnsi="Calibri"/>
                <w:color w:val="000000"/>
                <w:sz w:val="22"/>
                <w:szCs w:val="22"/>
              </w:rPr>
              <w:t xml:space="preserve"> Uni Credit </w:t>
            </w:r>
            <w:proofErr w:type="spellStart"/>
            <w:r w:rsidRPr="005E0D44">
              <w:rPr>
                <w:rFonts w:ascii="Calibri" w:hAnsi="Calibri"/>
                <w:color w:val="000000"/>
                <w:sz w:val="22"/>
                <w:szCs w:val="22"/>
              </w:rPr>
              <w:t>Leasing</w:t>
            </w:r>
            <w:proofErr w:type="spellEnd"/>
            <w:r w:rsidRPr="005E0D44">
              <w:rPr>
                <w:rFonts w:ascii="Calibri" w:hAnsi="Calibri"/>
                <w:color w:val="000000"/>
                <w:sz w:val="22"/>
                <w:szCs w:val="22"/>
              </w:rPr>
              <w:t xml:space="preserve"> Croatia </w:t>
            </w:r>
            <w:proofErr w:type="spellStart"/>
            <w:r w:rsidRPr="005E0D44">
              <w:rPr>
                <w:rFonts w:ascii="Calibri" w:hAnsi="Calibri"/>
                <w:color w:val="000000"/>
                <w:sz w:val="22"/>
                <w:szCs w:val="22"/>
              </w:rPr>
              <w:t>doo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1B77" w14:textId="77777777" w:rsidR="005E0D44" w:rsidRPr="005E0D44" w:rsidRDefault="005E0D44" w:rsidP="009E6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44">
              <w:rPr>
                <w:rFonts w:ascii="Calibri" w:hAnsi="Calibri"/>
                <w:color w:val="000000"/>
                <w:sz w:val="22"/>
                <w:szCs w:val="22"/>
              </w:rPr>
              <w:t>eur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A973" w14:textId="77777777" w:rsidR="005E0D44" w:rsidRPr="005E0D44" w:rsidRDefault="005E0D44" w:rsidP="009E6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44">
              <w:rPr>
                <w:rFonts w:ascii="Calibri" w:hAnsi="Calibri"/>
                <w:color w:val="000000"/>
                <w:sz w:val="22"/>
                <w:szCs w:val="22"/>
              </w:rPr>
              <w:t>44.341,06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9F7B" w14:textId="77777777" w:rsidR="005E0D44" w:rsidRPr="005E0D44" w:rsidRDefault="005E0D44" w:rsidP="009E6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44">
              <w:rPr>
                <w:rFonts w:ascii="Calibri" w:hAnsi="Calibri"/>
                <w:color w:val="000000"/>
                <w:sz w:val="22"/>
                <w:szCs w:val="22"/>
              </w:rPr>
              <w:t>6,25%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1184" w14:textId="77777777" w:rsidR="005E0D44" w:rsidRPr="005E0D44" w:rsidRDefault="005E0D44" w:rsidP="009E6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44">
              <w:rPr>
                <w:rFonts w:ascii="Calibri" w:hAnsi="Calibri"/>
                <w:color w:val="000000"/>
                <w:sz w:val="22"/>
                <w:szCs w:val="22"/>
              </w:rPr>
              <w:t>8.7.2031.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DB01" w14:textId="77777777" w:rsidR="005E0D44" w:rsidRPr="005E0D44" w:rsidRDefault="005E0D44" w:rsidP="009E60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44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</w:tr>
    </w:tbl>
    <w:p w14:paraId="788E3583" w14:textId="77777777" w:rsidR="005E0D44" w:rsidRDefault="005E0D44" w:rsidP="00655D01">
      <w:pPr>
        <w:rPr>
          <w:rFonts w:ascii="Times New Roman" w:hAnsi="Times New Roman"/>
        </w:rPr>
      </w:pPr>
    </w:p>
    <w:p w14:paraId="02A7CE7E" w14:textId="77777777" w:rsidR="005E0D44" w:rsidRDefault="005E0D44" w:rsidP="00655D01">
      <w:pPr>
        <w:rPr>
          <w:rFonts w:ascii="Times New Roman" w:hAnsi="Times New Roman"/>
        </w:rPr>
      </w:pPr>
    </w:p>
    <w:p w14:paraId="7AA95A76" w14:textId="77777777" w:rsidR="00F34C97" w:rsidRDefault="009625F7" w:rsidP="00655D01">
      <w:pPr>
        <w:rPr>
          <w:rFonts w:ascii="Times New Roman" w:hAnsi="Times New Roman"/>
        </w:rPr>
      </w:pPr>
      <w:r>
        <w:rPr>
          <w:rFonts w:ascii="Times New Roman" w:hAnsi="Times New Roman"/>
        </w:rPr>
        <w:t>Prijenos sredstava po izvorima financiranja</w:t>
      </w:r>
      <w:r w:rsidR="001F6FB5">
        <w:rPr>
          <w:rFonts w:ascii="Times New Roman" w:hAnsi="Times New Roman"/>
        </w:rPr>
        <w:t>:</w:t>
      </w:r>
    </w:p>
    <w:p w14:paraId="4E0064E5" w14:textId="77777777" w:rsidR="001F6FB5" w:rsidRDefault="001F6FB5" w:rsidP="006F4E7F">
      <w:pPr>
        <w:ind w:left="708"/>
        <w:rPr>
          <w:rFonts w:ascii="Times New Roman" w:hAnsi="Times New Roman"/>
        </w:rPr>
      </w:pPr>
    </w:p>
    <w:tbl>
      <w:tblPr>
        <w:tblStyle w:val="Reetkatablice"/>
        <w:tblW w:w="0" w:type="auto"/>
        <w:tblInd w:w="595" w:type="dxa"/>
        <w:tblLook w:val="04A0" w:firstRow="1" w:lastRow="0" w:firstColumn="1" w:lastColumn="0" w:noHBand="0" w:noVBand="1"/>
      </w:tblPr>
      <w:tblGrid>
        <w:gridCol w:w="4332"/>
        <w:gridCol w:w="4332"/>
        <w:gridCol w:w="4332"/>
      </w:tblGrid>
      <w:tr w:rsidR="001F6FB5" w14:paraId="1ACD410E" w14:textId="77777777" w:rsidTr="006F4E7F">
        <w:tc>
          <w:tcPr>
            <w:tcW w:w="4332" w:type="dxa"/>
          </w:tcPr>
          <w:p w14:paraId="002B71B3" w14:textId="77777777" w:rsidR="001F6FB5" w:rsidRPr="001F6FB5" w:rsidRDefault="001F6FB5" w:rsidP="001F6FB5">
            <w:pPr>
              <w:jc w:val="both"/>
              <w:rPr>
                <w:rFonts w:ascii="Times New Roman" w:hAnsi="Times New Roman"/>
                <w:b/>
              </w:rPr>
            </w:pPr>
            <w:r w:rsidRPr="001F6FB5">
              <w:rPr>
                <w:rFonts w:ascii="Times New Roman" w:hAnsi="Times New Roman"/>
                <w:b/>
              </w:rPr>
              <w:t>Izvori financiranja</w:t>
            </w:r>
          </w:p>
        </w:tc>
        <w:tc>
          <w:tcPr>
            <w:tcW w:w="4332" w:type="dxa"/>
          </w:tcPr>
          <w:p w14:paraId="1DB57E9A" w14:textId="77777777" w:rsidR="001F6FB5" w:rsidRPr="001F6FB5" w:rsidRDefault="001F6FB5" w:rsidP="001F6FB5">
            <w:pPr>
              <w:jc w:val="center"/>
              <w:rPr>
                <w:rFonts w:ascii="Times New Roman" w:hAnsi="Times New Roman"/>
                <w:b/>
              </w:rPr>
            </w:pPr>
            <w:r w:rsidRPr="001F6FB5">
              <w:rPr>
                <w:rFonts w:ascii="Times New Roman" w:hAnsi="Times New Roman"/>
                <w:b/>
              </w:rPr>
              <w:t>Preneseno iz prethodne godine</w:t>
            </w:r>
          </w:p>
        </w:tc>
        <w:tc>
          <w:tcPr>
            <w:tcW w:w="4332" w:type="dxa"/>
          </w:tcPr>
          <w:p w14:paraId="56C6919E" w14:textId="1FCA9E71" w:rsidR="001F6FB5" w:rsidRPr="001F6FB5" w:rsidRDefault="001F6FB5" w:rsidP="001F6FB5">
            <w:pPr>
              <w:jc w:val="center"/>
              <w:rPr>
                <w:rFonts w:ascii="Times New Roman" w:hAnsi="Times New Roman"/>
                <w:b/>
              </w:rPr>
            </w:pPr>
            <w:r w:rsidRPr="001F6FB5">
              <w:rPr>
                <w:rFonts w:ascii="Times New Roman" w:hAnsi="Times New Roman"/>
                <w:b/>
              </w:rPr>
              <w:t>Izvršeno 1-6/202</w:t>
            </w:r>
            <w:r w:rsidR="000038E4">
              <w:rPr>
                <w:rFonts w:ascii="Times New Roman" w:hAnsi="Times New Roman"/>
                <w:b/>
              </w:rPr>
              <w:t>5</w:t>
            </w:r>
          </w:p>
        </w:tc>
      </w:tr>
      <w:tr w:rsidR="00B440F5" w14:paraId="5807FDA6" w14:textId="77777777" w:rsidTr="006F4E7F">
        <w:tc>
          <w:tcPr>
            <w:tcW w:w="4332" w:type="dxa"/>
          </w:tcPr>
          <w:p w14:paraId="41A3059A" w14:textId="43E445A3" w:rsidR="00B440F5" w:rsidRPr="00B440F5" w:rsidRDefault="00B440F5" w:rsidP="001F6FB5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122</w:t>
            </w:r>
            <w:r w:rsidR="007C463A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Decentralizirana sredstva</w:t>
            </w:r>
          </w:p>
        </w:tc>
        <w:tc>
          <w:tcPr>
            <w:tcW w:w="4332" w:type="dxa"/>
          </w:tcPr>
          <w:p w14:paraId="261ACB26" w14:textId="7E3D3D78" w:rsidR="00B440F5" w:rsidRPr="00B440F5" w:rsidRDefault="00B440F5" w:rsidP="00B440F5">
            <w:pPr>
              <w:pStyle w:val="Odlomakpopisa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-9. 502,18</w:t>
            </w:r>
          </w:p>
        </w:tc>
        <w:tc>
          <w:tcPr>
            <w:tcW w:w="4332" w:type="dxa"/>
          </w:tcPr>
          <w:p w14:paraId="6CF0415A" w14:textId="3E251614" w:rsidR="00B440F5" w:rsidRPr="00B440F5" w:rsidRDefault="00B440F5" w:rsidP="00B440F5">
            <w:pPr>
              <w:jc w:val="right"/>
              <w:rPr>
                <w:rFonts w:ascii="Times New Roman" w:hAnsi="Times New Roman"/>
                <w:bCs/>
              </w:rPr>
            </w:pPr>
            <w:r w:rsidRPr="00B440F5">
              <w:rPr>
                <w:rFonts w:ascii="Times New Roman" w:hAnsi="Times New Roman"/>
                <w:bCs/>
              </w:rPr>
              <w:t xml:space="preserve">+ 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B440F5">
              <w:rPr>
                <w:rFonts w:ascii="Times New Roman" w:hAnsi="Times New Roman"/>
                <w:bCs/>
              </w:rPr>
              <w:t>9</w:t>
            </w:r>
            <w:r>
              <w:rPr>
                <w:rFonts w:ascii="Times New Roman" w:hAnsi="Times New Roman"/>
                <w:bCs/>
              </w:rPr>
              <w:t>.</w:t>
            </w:r>
            <w:r w:rsidRPr="00B440F5">
              <w:rPr>
                <w:rFonts w:ascii="Times New Roman" w:hAnsi="Times New Roman"/>
                <w:bCs/>
              </w:rPr>
              <w:t>502,18</w:t>
            </w:r>
          </w:p>
        </w:tc>
      </w:tr>
      <w:tr w:rsidR="001F6FB5" w14:paraId="5D705B98" w14:textId="77777777" w:rsidTr="006F4E7F">
        <w:tc>
          <w:tcPr>
            <w:tcW w:w="4332" w:type="dxa"/>
          </w:tcPr>
          <w:p w14:paraId="4F4563B7" w14:textId="60F6B00A" w:rsidR="001F6FB5" w:rsidRDefault="007C463A" w:rsidP="00655D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707A2A">
              <w:rPr>
                <w:rFonts w:ascii="Times New Roman" w:hAnsi="Times New Roman"/>
              </w:rPr>
              <w:t>32</w:t>
            </w:r>
            <w:r w:rsidR="001F6FB5">
              <w:rPr>
                <w:rFonts w:ascii="Times New Roman" w:hAnsi="Times New Roman"/>
              </w:rPr>
              <w:t xml:space="preserve"> Vlastiti prihodi - preneseni višak</w:t>
            </w:r>
          </w:p>
        </w:tc>
        <w:tc>
          <w:tcPr>
            <w:tcW w:w="4332" w:type="dxa"/>
          </w:tcPr>
          <w:p w14:paraId="340F5513" w14:textId="43B7572B" w:rsidR="001F6FB5" w:rsidRDefault="00B53F04" w:rsidP="001F6FB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="00B440F5">
              <w:rPr>
                <w:rFonts w:ascii="Times New Roman" w:hAnsi="Times New Roman"/>
              </w:rPr>
              <w:t>8.223,82</w:t>
            </w:r>
          </w:p>
        </w:tc>
        <w:tc>
          <w:tcPr>
            <w:tcW w:w="4332" w:type="dxa"/>
          </w:tcPr>
          <w:p w14:paraId="4B3F7B77" w14:textId="26D46B4C" w:rsidR="001F6FB5" w:rsidRDefault="00B440F5" w:rsidP="001F6FB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8.223,82</w:t>
            </w:r>
          </w:p>
        </w:tc>
      </w:tr>
      <w:tr w:rsidR="001F6FB5" w14:paraId="3F6E964B" w14:textId="77777777" w:rsidTr="006F4E7F">
        <w:tc>
          <w:tcPr>
            <w:tcW w:w="4332" w:type="dxa"/>
          </w:tcPr>
          <w:p w14:paraId="3A76CE7B" w14:textId="0A5A0B09" w:rsidR="001F6FB5" w:rsidRDefault="007C463A" w:rsidP="00655D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1F6FB5">
              <w:rPr>
                <w:rFonts w:ascii="Times New Roman" w:hAnsi="Times New Roman"/>
              </w:rPr>
              <w:t>35  Prihodi za posebne namjene</w:t>
            </w:r>
          </w:p>
        </w:tc>
        <w:tc>
          <w:tcPr>
            <w:tcW w:w="4332" w:type="dxa"/>
          </w:tcPr>
          <w:p w14:paraId="7ADC0C9D" w14:textId="3ECFBEC3" w:rsidR="001F6FB5" w:rsidRDefault="00B53F04" w:rsidP="001F6FB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="00B440F5">
              <w:rPr>
                <w:rFonts w:ascii="Times New Roman" w:hAnsi="Times New Roman"/>
              </w:rPr>
              <w:t>13.686,92</w:t>
            </w:r>
          </w:p>
        </w:tc>
        <w:tc>
          <w:tcPr>
            <w:tcW w:w="4332" w:type="dxa"/>
          </w:tcPr>
          <w:p w14:paraId="66DCCB42" w14:textId="2153CC61" w:rsidR="001F6FB5" w:rsidRDefault="00B440F5" w:rsidP="001F6FB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- 13.686,92</w:t>
            </w:r>
          </w:p>
        </w:tc>
      </w:tr>
    </w:tbl>
    <w:p w14:paraId="492DDAC2" w14:textId="77777777" w:rsidR="000069F5" w:rsidRDefault="000069F5" w:rsidP="00655D01">
      <w:pPr>
        <w:rPr>
          <w:rFonts w:ascii="Times New Roman" w:hAnsi="Times New Roman"/>
        </w:rPr>
      </w:pPr>
    </w:p>
    <w:p w14:paraId="7F2E1D0A" w14:textId="5DC6162D" w:rsidR="00956B73" w:rsidRDefault="00956B73" w:rsidP="00655D01">
      <w:pPr>
        <w:rPr>
          <w:rFonts w:ascii="Times New Roman" w:hAnsi="Times New Roman"/>
        </w:rPr>
      </w:pPr>
      <w:r>
        <w:rPr>
          <w:rFonts w:ascii="Times New Roman" w:hAnsi="Times New Roman"/>
        </w:rPr>
        <w:t>Ukupno stanje na računima podskupine 922 u Glavnoj knjizi i u Financijskom izvještajima na dan 31.12.202</w:t>
      </w:r>
      <w:r w:rsidR="00B440F5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iznosi </w:t>
      </w:r>
      <w:r w:rsidR="00B440F5">
        <w:rPr>
          <w:rFonts w:ascii="Times New Roman" w:hAnsi="Times New Roman"/>
        </w:rPr>
        <w:t>12.408,5</w:t>
      </w:r>
      <w:r>
        <w:rPr>
          <w:rFonts w:ascii="Times New Roman" w:hAnsi="Times New Roman"/>
        </w:rPr>
        <w:t xml:space="preserve">6 eura. Višak je ostvaren na tri izvora. Izvor </w:t>
      </w:r>
      <w:r w:rsidR="00B440F5">
        <w:rPr>
          <w:rFonts w:ascii="Times New Roman" w:hAnsi="Times New Roman"/>
        </w:rPr>
        <w:t>122</w:t>
      </w:r>
      <w:r>
        <w:rPr>
          <w:rFonts w:ascii="Times New Roman" w:hAnsi="Times New Roman"/>
        </w:rPr>
        <w:t xml:space="preserve"> odnosi se </w:t>
      </w:r>
      <w:r w:rsidR="00B440F5">
        <w:rPr>
          <w:rFonts w:ascii="Times New Roman" w:hAnsi="Times New Roman"/>
        </w:rPr>
        <w:t>Decentralizirana sredstva nadležnog proračuna i ostvaren je metodološki manjak u iznosu 9.502,18 eura koji je u cijelosti spušten školi tokom mjeseca veljače ove godine</w:t>
      </w:r>
      <w:r>
        <w:rPr>
          <w:rFonts w:ascii="Times New Roman" w:hAnsi="Times New Roman"/>
        </w:rPr>
        <w:t xml:space="preserve">. Preneseni višak s izvora </w:t>
      </w:r>
      <w:r w:rsidR="00B440F5">
        <w:rPr>
          <w:rFonts w:ascii="Times New Roman" w:hAnsi="Times New Roman"/>
        </w:rPr>
        <w:t>45</w:t>
      </w:r>
      <w:r>
        <w:rPr>
          <w:rFonts w:ascii="Times New Roman" w:hAnsi="Times New Roman"/>
        </w:rPr>
        <w:t xml:space="preserve"> je prihoda za posebne namjene koji je prenesen iz prethodnih godina. Prihodi </w:t>
      </w:r>
      <w:r w:rsidR="00B440F5">
        <w:rPr>
          <w:rFonts w:ascii="Times New Roman" w:hAnsi="Times New Roman"/>
        </w:rPr>
        <w:t xml:space="preserve">je u </w:t>
      </w:r>
      <w:proofErr w:type="spellStart"/>
      <w:r w:rsidR="00B440F5">
        <w:rPr>
          <w:rFonts w:ascii="Times New Roman" w:hAnsi="Times New Roman"/>
        </w:rPr>
        <w:t>cjelosti</w:t>
      </w:r>
      <w:proofErr w:type="spellEnd"/>
      <w:r>
        <w:rPr>
          <w:rFonts w:ascii="Times New Roman" w:hAnsi="Times New Roman"/>
        </w:rPr>
        <w:t xml:space="preserve"> utrošeni prema odluci Školskog obora</w:t>
      </w:r>
      <w:r w:rsidR="00B440F5">
        <w:rPr>
          <w:rFonts w:ascii="Times New Roman" w:hAnsi="Times New Roman"/>
        </w:rPr>
        <w:t>.</w:t>
      </w:r>
    </w:p>
    <w:p w14:paraId="271CFD4C" w14:textId="301E98F9" w:rsidR="00956B73" w:rsidRDefault="00956B73" w:rsidP="00655D01">
      <w:pPr>
        <w:rPr>
          <w:rFonts w:ascii="Times New Roman" w:hAnsi="Times New Roman"/>
        </w:rPr>
      </w:pPr>
      <w:r>
        <w:rPr>
          <w:rFonts w:ascii="Times New Roman" w:hAnsi="Times New Roman"/>
        </w:rPr>
        <w:t>Preneseni višak vlastitih sredstava</w:t>
      </w:r>
      <w:r w:rsidR="00B440F5">
        <w:rPr>
          <w:rFonts w:ascii="Times New Roman" w:hAnsi="Times New Roman"/>
        </w:rPr>
        <w:t xml:space="preserve"> iz izvora 32</w:t>
      </w:r>
      <w:r>
        <w:rPr>
          <w:rFonts w:ascii="Times New Roman" w:hAnsi="Times New Roman"/>
        </w:rPr>
        <w:t xml:space="preserve"> je uložen u nabavu odluci Školskog odbora </w:t>
      </w:r>
      <w:r w:rsidR="00B440F5">
        <w:rPr>
          <w:rFonts w:ascii="Times New Roman" w:hAnsi="Times New Roman"/>
        </w:rPr>
        <w:t xml:space="preserve">i u cijelosti je utrošen. </w:t>
      </w:r>
    </w:p>
    <w:p w14:paraId="1E2E1F68" w14:textId="77777777" w:rsidR="00956B73" w:rsidRDefault="00956B73" w:rsidP="00655D01">
      <w:pPr>
        <w:rPr>
          <w:rFonts w:ascii="Times New Roman" w:hAnsi="Times New Roman"/>
        </w:rPr>
      </w:pPr>
    </w:p>
    <w:p w14:paraId="6A77A79B" w14:textId="77777777" w:rsidR="000069F5" w:rsidRDefault="000069F5" w:rsidP="00655D01">
      <w:pPr>
        <w:rPr>
          <w:rFonts w:ascii="Times New Roman" w:hAnsi="Times New Roman"/>
        </w:rPr>
      </w:pPr>
    </w:p>
    <w:p w14:paraId="71EF7043" w14:textId="24F7853D" w:rsidR="00D206E0" w:rsidRDefault="001474B4" w:rsidP="00E82A9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 Garešnici, </w:t>
      </w:r>
      <w:r w:rsidR="00946E70">
        <w:rPr>
          <w:rFonts w:ascii="Times New Roman" w:hAnsi="Times New Roman"/>
        </w:rPr>
        <w:t>22</w:t>
      </w:r>
      <w:r>
        <w:rPr>
          <w:rFonts w:ascii="Times New Roman" w:hAnsi="Times New Roman"/>
        </w:rPr>
        <w:t>.07</w:t>
      </w:r>
      <w:r w:rsidR="00106E52">
        <w:rPr>
          <w:rFonts w:ascii="Times New Roman" w:hAnsi="Times New Roman"/>
        </w:rPr>
        <w:t>.202</w:t>
      </w:r>
      <w:r w:rsidR="006F4E7F">
        <w:rPr>
          <w:rFonts w:ascii="Times New Roman" w:hAnsi="Times New Roman"/>
        </w:rPr>
        <w:t>5</w:t>
      </w:r>
      <w:r w:rsidR="00E56202">
        <w:rPr>
          <w:rFonts w:ascii="Times New Roman" w:hAnsi="Times New Roman"/>
        </w:rPr>
        <w:t xml:space="preserve">.                                                                        </w:t>
      </w:r>
    </w:p>
    <w:sectPr w:rsidR="00D206E0" w:rsidSect="00F11F8F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7487A"/>
    <w:multiLevelType w:val="hybridMultilevel"/>
    <w:tmpl w:val="E432FF76"/>
    <w:lvl w:ilvl="0" w:tplc="92706A64">
      <w:start w:val="1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15"/>
    <w:rsid w:val="000038E4"/>
    <w:rsid w:val="000069F5"/>
    <w:rsid w:val="00010ED0"/>
    <w:rsid w:val="0002191A"/>
    <w:rsid w:val="000219FF"/>
    <w:rsid w:val="00025B34"/>
    <w:rsid w:val="00025CA2"/>
    <w:rsid w:val="00093400"/>
    <w:rsid w:val="000B666F"/>
    <w:rsid w:val="000E7F16"/>
    <w:rsid w:val="001001D2"/>
    <w:rsid w:val="00103452"/>
    <w:rsid w:val="00106E52"/>
    <w:rsid w:val="00116363"/>
    <w:rsid w:val="00140E1E"/>
    <w:rsid w:val="001474B4"/>
    <w:rsid w:val="00155BD6"/>
    <w:rsid w:val="001652F3"/>
    <w:rsid w:val="00193EAD"/>
    <w:rsid w:val="00194A31"/>
    <w:rsid w:val="001A3F58"/>
    <w:rsid w:val="001B4587"/>
    <w:rsid w:val="001B64E4"/>
    <w:rsid w:val="001F6FB5"/>
    <w:rsid w:val="00205A4C"/>
    <w:rsid w:val="00227873"/>
    <w:rsid w:val="002E013C"/>
    <w:rsid w:val="00301463"/>
    <w:rsid w:val="003042EF"/>
    <w:rsid w:val="00307D7C"/>
    <w:rsid w:val="00350B52"/>
    <w:rsid w:val="003A559D"/>
    <w:rsid w:val="003C19B4"/>
    <w:rsid w:val="003D2856"/>
    <w:rsid w:val="00410A96"/>
    <w:rsid w:val="00416454"/>
    <w:rsid w:val="00431111"/>
    <w:rsid w:val="00443AB6"/>
    <w:rsid w:val="004464B9"/>
    <w:rsid w:val="004555ED"/>
    <w:rsid w:val="004A3C6E"/>
    <w:rsid w:val="004B6376"/>
    <w:rsid w:val="005363F8"/>
    <w:rsid w:val="00542E15"/>
    <w:rsid w:val="00595B91"/>
    <w:rsid w:val="005A38A4"/>
    <w:rsid w:val="005A62BF"/>
    <w:rsid w:val="005B2A74"/>
    <w:rsid w:val="005D17D5"/>
    <w:rsid w:val="005E0D44"/>
    <w:rsid w:val="005F50DA"/>
    <w:rsid w:val="00600D70"/>
    <w:rsid w:val="00635E99"/>
    <w:rsid w:val="00655D01"/>
    <w:rsid w:val="00656228"/>
    <w:rsid w:val="006713DA"/>
    <w:rsid w:val="0069290F"/>
    <w:rsid w:val="006963B6"/>
    <w:rsid w:val="006B0A84"/>
    <w:rsid w:val="006D2D5D"/>
    <w:rsid w:val="006F1F53"/>
    <w:rsid w:val="006F4E7F"/>
    <w:rsid w:val="006F6487"/>
    <w:rsid w:val="006F71C0"/>
    <w:rsid w:val="00707A2A"/>
    <w:rsid w:val="00733243"/>
    <w:rsid w:val="0076212A"/>
    <w:rsid w:val="00776BD0"/>
    <w:rsid w:val="007906CE"/>
    <w:rsid w:val="007C463A"/>
    <w:rsid w:val="007D1436"/>
    <w:rsid w:val="007D4295"/>
    <w:rsid w:val="007E1DBD"/>
    <w:rsid w:val="007F629D"/>
    <w:rsid w:val="00824921"/>
    <w:rsid w:val="008357CF"/>
    <w:rsid w:val="008A22A6"/>
    <w:rsid w:val="008D2EEB"/>
    <w:rsid w:val="008E3543"/>
    <w:rsid w:val="00912B77"/>
    <w:rsid w:val="009158CC"/>
    <w:rsid w:val="00946E70"/>
    <w:rsid w:val="00956B73"/>
    <w:rsid w:val="009625F7"/>
    <w:rsid w:val="009A73C0"/>
    <w:rsid w:val="009C1150"/>
    <w:rsid w:val="009E608C"/>
    <w:rsid w:val="009F26D2"/>
    <w:rsid w:val="00A04666"/>
    <w:rsid w:val="00A116CD"/>
    <w:rsid w:val="00A30396"/>
    <w:rsid w:val="00A3472B"/>
    <w:rsid w:val="00A4783C"/>
    <w:rsid w:val="00A64887"/>
    <w:rsid w:val="00AC7FF3"/>
    <w:rsid w:val="00B33F71"/>
    <w:rsid w:val="00B349CE"/>
    <w:rsid w:val="00B440F5"/>
    <w:rsid w:val="00B536E3"/>
    <w:rsid w:val="00B53F04"/>
    <w:rsid w:val="00B5578F"/>
    <w:rsid w:val="00BA7324"/>
    <w:rsid w:val="00BB0A32"/>
    <w:rsid w:val="00BB5995"/>
    <w:rsid w:val="00BC2928"/>
    <w:rsid w:val="00C30B33"/>
    <w:rsid w:val="00C33D44"/>
    <w:rsid w:val="00C40765"/>
    <w:rsid w:val="00C41B0E"/>
    <w:rsid w:val="00C44051"/>
    <w:rsid w:val="00C50413"/>
    <w:rsid w:val="00C7096A"/>
    <w:rsid w:val="00C81C67"/>
    <w:rsid w:val="00C867A8"/>
    <w:rsid w:val="00C87CBF"/>
    <w:rsid w:val="00CB278B"/>
    <w:rsid w:val="00CE6C0C"/>
    <w:rsid w:val="00D206E0"/>
    <w:rsid w:val="00D543D0"/>
    <w:rsid w:val="00D747C6"/>
    <w:rsid w:val="00D776B3"/>
    <w:rsid w:val="00D82E48"/>
    <w:rsid w:val="00D907B2"/>
    <w:rsid w:val="00D92F6C"/>
    <w:rsid w:val="00DD32AE"/>
    <w:rsid w:val="00E002D9"/>
    <w:rsid w:val="00E03790"/>
    <w:rsid w:val="00E226B8"/>
    <w:rsid w:val="00E33144"/>
    <w:rsid w:val="00E56202"/>
    <w:rsid w:val="00E73FEC"/>
    <w:rsid w:val="00E82A97"/>
    <w:rsid w:val="00E958CA"/>
    <w:rsid w:val="00EA0BE6"/>
    <w:rsid w:val="00EA5EB0"/>
    <w:rsid w:val="00EC187A"/>
    <w:rsid w:val="00EC5A1D"/>
    <w:rsid w:val="00EF0A8A"/>
    <w:rsid w:val="00EF47E1"/>
    <w:rsid w:val="00F11F8F"/>
    <w:rsid w:val="00F259A9"/>
    <w:rsid w:val="00F34C97"/>
    <w:rsid w:val="00F36CE8"/>
    <w:rsid w:val="00F55133"/>
    <w:rsid w:val="00F60AF5"/>
    <w:rsid w:val="00F76109"/>
    <w:rsid w:val="00FA6BB5"/>
    <w:rsid w:val="00FB6D8B"/>
    <w:rsid w:val="00FD430F"/>
    <w:rsid w:val="00FD7F41"/>
    <w:rsid w:val="00F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5325"/>
  <w15:chartTrackingRefBased/>
  <w15:docId w15:val="{C454EEF2-2A25-445A-A1E2-8F16EBD2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E15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42E15"/>
    <w:pPr>
      <w:keepNext/>
      <w:jc w:val="center"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42E15"/>
    <w:rPr>
      <w:rFonts w:ascii="Trebuchet MS" w:eastAsia="Times New Roman" w:hAnsi="Trebuchet MS" w:cs="Times New Roman"/>
      <w:b/>
      <w:bCs/>
      <w:sz w:val="28"/>
      <w:szCs w:val="24"/>
      <w:lang w:eastAsia="hr-HR"/>
    </w:rPr>
  </w:style>
  <w:style w:type="table" w:customStyle="1" w:styleId="TableGrid">
    <w:name w:val="TableGrid"/>
    <w:rsid w:val="000B666F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39"/>
    <w:rsid w:val="009C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73FE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3FEC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B44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92C57-D200-430C-B229-436BDB845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Marge</cp:lastModifiedBy>
  <cp:revision>2</cp:revision>
  <cp:lastPrinted>2024-03-27T10:58:00Z</cp:lastPrinted>
  <dcterms:created xsi:type="dcterms:W3CDTF">2025-07-25T12:36:00Z</dcterms:created>
  <dcterms:modified xsi:type="dcterms:W3CDTF">2025-07-25T12:36:00Z</dcterms:modified>
</cp:coreProperties>
</file>