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1A051C" w14:paraId="22153E1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438B5A0" w14:textId="77777777" w:rsidR="001A051C" w:rsidRDefault="00D609A6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E9C6D2E" w14:textId="77777777" w:rsidR="001A051C" w:rsidRDefault="00D609A6">
            <w:pPr>
              <w:spacing w:after="0" w:line="240" w:lineRule="auto"/>
            </w:pPr>
            <w:r>
              <w:t>18872</w:t>
            </w:r>
          </w:p>
        </w:tc>
      </w:tr>
      <w:tr w:rsidR="001A051C" w14:paraId="10DA946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3FB39DE" w14:textId="77777777" w:rsidR="001A051C" w:rsidRDefault="00D609A6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7E7C0C1" w14:textId="77777777" w:rsidR="001A051C" w:rsidRDefault="00D609A6">
            <w:pPr>
              <w:spacing w:after="0" w:line="240" w:lineRule="auto"/>
            </w:pPr>
            <w:r>
              <w:t>SREDNJA ŠKOLA ˝AUGUST ŠENOA˝ GAREŠNICA</w:t>
            </w:r>
          </w:p>
        </w:tc>
      </w:tr>
      <w:tr w:rsidR="001A051C" w14:paraId="37BCF08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C7C7A5B" w14:textId="77777777" w:rsidR="001A051C" w:rsidRDefault="00D609A6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E6EB25A" w14:textId="77777777" w:rsidR="001A051C" w:rsidRDefault="00D609A6">
            <w:pPr>
              <w:spacing w:after="0" w:line="240" w:lineRule="auto"/>
            </w:pPr>
            <w:r>
              <w:t>31</w:t>
            </w:r>
          </w:p>
        </w:tc>
      </w:tr>
    </w:tbl>
    <w:p w14:paraId="6663351D" w14:textId="77777777" w:rsidR="001A051C" w:rsidRDefault="00D609A6">
      <w:r>
        <w:br/>
      </w:r>
    </w:p>
    <w:p w14:paraId="06F998D8" w14:textId="77777777" w:rsidR="001A051C" w:rsidRDefault="00D609A6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0693AE3" w14:textId="77777777" w:rsidR="001A051C" w:rsidRDefault="00D609A6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004D494" w14:textId="77777777" w:rsidR="001A051C" w:rsidRDefault="00D609A6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45C21DB" w14:textId="77777777" w:rsidR="001A051C" w:rsidRDefault="001A051C"/>
    <w:p w14:paraId="3D8BC492" w14:textId="77777777" w:rsidR="001A051C" w:rsidRDefault="00D609A6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3600F21A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26DD40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5499D9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9F01D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1626B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D8084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C19449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6272D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2FF27C7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02713D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BEE8FC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FCCB63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136584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1.157.856,49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2A368C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1.247.707,14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7B582C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107,8</w:t>
            </w:r>
          </w:p>
        </w:tc>
      </w:tr>
      <w:tr w:rsidR="001A051C" w14:paraId="4E3A2A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9E5520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9346951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POSLOVANJA (šifre </w:t>
            </w:r>
            <w:r>
              <w:rPr>
                <w:sz w:val="18"/>
              </w:rPr>
              <w:t>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B92735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2213D7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1.119.208,18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5FF50D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1.363.052,00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48B450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121,8</w:t>
            </w:r>
          </w:p>
        </w:tc>
      </w:tr>
      <w:tr w:rsidR="001A051C" w14:paraId="3251740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7FDDC9" w14:textId="77777777" w:rsidR="001A051C" w:rsidRDefault="001A05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6C2B14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BD8DE8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F9EFD9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732755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115.344,86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B8B700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A051C" w14:paraId="7019EAF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DC580D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2AD712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899A31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ED1CA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71C846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1D24CE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5054,6</w:t>
            </w:r>
          </w:p>
        </w:tc>
      </w:tr>
      <w:tr w:rsidR="001A051C" w14:paraId="1340C55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572646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36415B0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</w:t>
            </w:r>
            <w:r>
              <w:rPr>
                <w:sz w:val="18"/>
              </w:rPr>
              <w:t>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A0B4A4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3EB7CA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105.243,99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1DB3C5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44.857,73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868248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42,6</w:t>
            </w:r>
          </w:p>
        </w:tc>
      </w:tr>
      <w:tr w:rsidR="001A051C" w14:paraId="521ED89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DF9BDC" w14:textId="77777777" w:rsidR="001A051C" w:rsidRDefault="001A05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6B0710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FAB6E0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465C7C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105.194,53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56C1DC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42.357,73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57F355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40,3</w:t>
            </w:r>
          </w:p>
        </w:tc>
      </w:tr>
      <w:tr w:rsidR="001A051C" w14:paraId="00BA36B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693650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5559C7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620269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0324D4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44.341,08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A892B6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1124B6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1A051C" w14:paraId="369626A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D26AE5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5B8731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5E4A64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58928F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FB1C37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3.167,22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764086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1A051C" w14:paraId="4F3ED00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55A391" w14:textId="77777777" w:rsidR="001A051C" w:rsidRDefault="001A05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70D5C8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C626E8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CF7688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03411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3.167,22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E592D5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1A051C" w14:paraId="09B5E32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C00798" w14:textId="77777777" w:rsidR="001A051C" w:rsidRDefault="001A05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F024A3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BA79EE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E4447A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22.205,14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23CBD3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160.869,81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4F066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724,5</w:t>
            </w:r>
          </w:p>
        </w:tc>
      </w:tr>
    </w:tbl>
    <w:p w14:paraId="21D8366C" w14:textId="77777777" w:rsidR="001A051C" w:rsidRDefault="001A051C">
      <w:pPr>
        <w:spacing w:after="0"/>
      </w:pPr>
    </w:p>
    <w:p w14:paraId="7EACA33D" w14:textId="77777777" w:rsidR="001A051C" w:rsidRDefault="00D609A6">
      <w:pPr>
        <w:spacing w:line="240" w:lineRule="auto"/>
        <w:jc w:val="both"/>
      </w:pPr>
      <w:r>
        <w:t xml:space="preserve">Ukupni prihodi poslovanja iznosili su 1.247.707,14 eura, dok su rashodi poslovanja veći za 115.344,86 eura te je u tom iznosu  ostvaren manjak prihoda poslovanja. Osnovi razlog manjka je promjena načina iskazivanja troškova  plaća za </w:t>
      </w:r>
      <w:r>
        <w:t xml:space="preserve">mjesec lipanj (iznos = 155.747,63 </w:t>
      </w:r>
      <w:proofErr w:type="spellStart"/>
      <w:r>
        <w:t>eur</w:t>
      </w:r>
      <w:proofErr w:type="spellEnd"/>
      <w:r>
        <w:t xml:space="preserve">).  Ti troškovi u prethodnim godinama iskazivali su se na kontu 193110, dok se od ove godine iskazuju na kontima troška. Dio prihoda poslovanja također je namijenjen za nabavu nefinancijske imovine (u iznosu 43.130,01 </w:t>
      </w:r>
      <w:proofErr w:type="spellStart"/>
      <w:r>
        <w:t>e</w:t>
      </w:r>
      <w:r>
        <w:t>ur</w:t>
      </w:r>
      <w:proofErr w:type="spellEnd"/>
      <w:r>
        <w:t xml:space="preserve">) kao i za financiranje izdataka za otplatu leasinga (3.167,22 </w:t>
      </w:r>
      <w:proofErr w:type="spellStart"/>
      <w:r>
        <w:t>eur</w:t>
      </w:r>
      <w:proofErr w:type="spellEnd"/>
      <w:r>
        <w:t xml:space="preserve">)  Ukupni prihodi od prodaje nefinancijske imovine manji su od rashoda za nabavu </w:t>
      </w:r>
      <w:r>
        <w:lastRenderedPageBreak/>
        <w:t>nefinancijske imovine te je ostvaren manjak prihoda od nefinancijske imovine. Ovakav rezultata uobičajen je</w:t>
      </w:r>
      <w:r>
        <w:t xml:space="preserve"> u školskim ustanovama i proizlazi iz samog opsega djelatnosti. Manjak će se pokrivati iz prihoda poslovanja.  Škola se u ovoj godini nije financijski zaduživala, niti ostvaruje prihode o financijske imovine, pa zbog izdataka za otplate rata leasinga ostva</w:t>
      </w:r>
      <w:r>
        <w:t xml:space="preserve">ren manjak od financijske imovine i zaduživanja. Manjak će se pokrivati iz prihoda poslovanja.  Ukupan rezultat je manjak prihoda i primitaka u iznosu 160.869,81 </w:t>
      </w:r>
      <w:proofErr w:type="spellStart"/>
      <w:r>
        <w:t>eur</w:t>
      </w:r>
      <w:proofErr w:type="spellEnd"/>
      <w:r>
        <w:t>. Radi se o metodološkom  manjku koji proizlazi iz obveza čije dospijeće je u mjesecu srpnj</w:t>
      </w:r>
      <w:r>
        <w:t xml:space="preserve">u i za koji će prihodi biti evidentirani tokom srpnja.  Uvećamo li manjak ostvaren 30.06.2025 za preneseni višak iz prethodne godine u iznosu 12.408,56 </w:t>
      </w:r>
      <w:proofErr w:type="spellStart"/>
      <w:r>
        <w:t>eur</w:t>
      </w:r>
      <w:proofErr w:type="spellEnd"/>
      <w:r>
        <w:t xml:space="preserve"> dobivamo konačan rezultat iskazana na referentnoj stranici manjak prihoda =148. 461,25 </w:t>
      </w:r>
      <w:proofErr w:type="spellStart"/>
      <w:r>
        <w:t>eur</w:t>
      </w:r>
      <w:proofErr w:type="spellEnd"/>
      <w:r>
        <w:t>.</w:t>
      </w:r>
    </w:p>
    <w:p w14:paraId="3FFF6032" w14:textId="77777777" w:rsidR="001A051C" w:rsidRDefault="00D609A6">
      <w:r>
        <w:br/>
      </w:r>
    </w:p>
    <w:p w14:paraId="431A3827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</w:t>
      </w:r>
      <w:r>
        <w:rPr>
          <w:sz w:val="28"/>
        </w:rPr>
        <w:t>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31FE6E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E90FC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0F167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DCBC0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261D4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3D0FB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91D0A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0E0D3F8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DBA0A7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AEDE1D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8BE843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5A1135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1.157.856,49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52E0F1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1.247.707,14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8C4A5A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107,8</w:t>
            </w:r>
          </w:p>
        </w:tc>
      </w:tr>
    </w:tbl>
    <w:p w14:paraId="2D4A056A" w14:textId="77777777" w:rsidR="001A051C" w:rsidRDefault="001A051C">
      <w:pPr>
        <w:spacing w:after="0"/>
      </w:pPr>
    </w:p>
    <w:p w14:paraId="0BBE8D47" w14:textId="77777777" w:rsidR="001A051C" w:rsidRDefault="00D609A6">
      <w:pPr>
        <w:spacing w:line="240" w:lineRule="auto"/>
        <w:jc w:val="both"/>
      </w:pPr>
      <w:r>
        <w:t>Ukupni prihodi poslovanja rasli su za 7,8%. U nastavku slijedi detaljnije obrazloženje.</w:t>
      </w:r>
    </w:p>
    <w:p w14:paraId="283E8123" w14:textId="77777777" w:rsidR="001A051C" w:rsidRDefault="001A051C"/>
    <w:p w14:paraId="00ECD2DE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4A3E87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623623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C3ABFE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A9F4F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28A1E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D90E00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FAF2B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1968BB6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EB1489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7FBDA9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9BD9D5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008742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918.527,42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51E8B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993.814,70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5A5480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108,2</w:t>
            </w:r>
          </w:p>
        </w:tc>
      </w:tr>
    </w:tbl>
    <w:p w14:paraId="61E9E622" w14:textId="77777777" w:rsidR="001A051C" w:rsidRDefault="001A051C">
      <w:pPr>
        <w:spacing w:after="0"/>
      </w:pPr>
    </w:p>
    <w:p w14:paraId="652E9B63" w14:textId="77777777" w:rsidR="001A051C" w:rsidRDefault="00D609A6">
      <w:pPr>
        <w:spacing w:line="240" w:lineRule="auto"/>
        <w:jc w:val="both"/>
      </w:pPr>
      <w:r>
        <w:t xml:space="preserve">Prihodi iz proračuna Ministarstva znanosti obrazovanja i mladih (koji nam nije nadležan) povećani su za 8,2% zbog poboljšanja </w:t>
      </w:r>
      <w:r>
        <w:t>materijalnih uvjeta zaposlenih, rasta osnovice za plaće, ali i zbog povećanog broja odrađenih prekovremenih sati koji su nastali zbog nedostataka stručnog kadra.</w:t>
      </w:r>
    </w:p>
    <w:p w14:paraId="480C1A87" w14:textId="77777777" w:rsidR="001A051C" w:rsidRDefault="001A051C"/>
    <w:p w14:paraId="136286A9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1A7600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D4BE29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9010A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DB7D6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66D51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</w:t>
            </w:r>
            <w:r>
              <w:rPr>
                <w:b/>
                <w:sz w:val="18"/>
              </w:rPr>
              <w:t>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0A0383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3593D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5D56E6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036361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0844DF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Tekući prijenosi između proračunskih korisnika istog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470789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F8FB85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D5F4C1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1B8F58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69E608A2" w14:textId="77777777" w:rsidR="001A051C" w:rsidRDefault="001A051C">
      <w:pPr>
        <w:spacing w:after="0"/>
      </w:pPr>
    </w:p>
    <w:p w14:paraId="38E61654" w14:textId="77777777" w:rsidR="001A051C" w:rsidRDefault="00D609A6">
      <w:pPr>
        <w:spacing w:line="240" w:lineRule="auto"/>
        <w:jc w:val="both"/>
      </w:pPr>
      <w:r>
        <w:t>U ovoj godini nije bilo realiziranih projekata sa školom partnerom.</w:t>
      </w:r>
    </w:p>
    <w:p w14:paraId="6DF3686F" w14:textId="77777777" w:rsidR="001A051C" w:rsidRDefault="001A051C"/>
    <w:p w14:paraId="2DFA54F3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5F8E78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99B408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9C9B3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FBF7E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615D9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501E1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9ED64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2A44F34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B25849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F1DDC9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financijske imovine (šifre 6412 do 6419)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D625D6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7656F6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F2FB80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A73911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236BEAC" w14:textId="77777777" w:rsidR="001A051C" w:rsidRDefault="001A051C">
      <w:pPr>
        <w:spacing w:after="0"/>
      </w:pPr>
    </w:p>
    <w:p w14:paraId="793D8876" w14:textId="77777777" w:rsidR="001A051C" w:rsidRDefault="00D609A6">
      <w:pPr>
        <w:spacing w:line="240" w:lineRule="auto"/>
        <w:jc w:val="both"/>
      </w:pPr>
      <w:r>
        <w:t xml:space="preserve">Ostvareni su prihodi od kamata na </w:t>
      </w:r>
      <w:r>
        <w:t>depozite po viđenju (</w:t>
      </w:r>
      <w:proofErr w:type="spellStart"/>
      <w:r>
        <w:t>kta</w:t>
      </w:r>
      <w:proofErr w:type="spellEnd"/>
      <w:r>
        <w:t xml:space="preserve"> na pozitivno stanje žiro računa računa).</w:t>
      </w:r>
    </w:p>
    <w:p w14:paraId="48A9135C" w14:textId="77777777" w:rsidR="001A051C" w:rsidRDefault="001A051C"/>
    <w:p w14:paraId="195895A7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354DB5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71EA5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3871DD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74E5C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A0E45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654CB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3C607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44D4E9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3BF4BE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28C7CE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Ostali </w:t>
            </w:r>
            <w:r>
              <w:rPr>
                <w:sz w:val="18"/>
              </w:rPr>
              <w:t>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861F2C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66D199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45.134,71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83A2A9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53.656,68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04238F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118,9</w:t>
            </w:r>
          </w:p>
        </w:tc>
      </w:tr>
    </w:tbl>
    <w:p w14:paraId="3711E1A8" w14:textId="77777777" w:rsidR="001A051C" w:rsidRDefault="001A051C">
      <w:pPr>
        <w:spacing w:after="0"/>
      </w:pPr>
    </w:p>
    <w:p w14:paraId="440AAC6B" w14:textId="77777777" w:rsidR="001A051C" w:rsidRDefault="00D609A6">
      <w:pPr>
        <w:spacing w:line="240" w:lineRule="auto"/>
        <w:jc w:val="both"/>
      </w:pPr>
      <w:r>
        <w:t xml:space="preserve">Prihodi za smještaj učenika u Učeničkom domu povećani su zbog većeg broja upisanih korisnika u Učenički domu i bolje realizacije u naplati. Prihodi se ostvaruju od uplata roditelja, skrbnika, </w:t>
      </w:r>
      <w:r>
        <w:t>Hrvatskog zavoda za socijalni rad (za sedam učenika) i Ministarstva rada i mirovinskog sustava, obitelji i socijalne politike (za 6 učenika).</w:t>
      </w:r>
    </w:p>
    <w:p w14:paraId="68855C29" w14:textId="77777777" w:rsidR="001A051C" w:rsidRDefault="001A051C"/>
    <w:p w14:paraId="5F2D822F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5692E2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E8377D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A59E43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B540E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87286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2676B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</w:t>
            </w:r>
            <w:r>
              <w:rPr>
                <w:b/>
                <w:sz w:val="18"/>
              </w:rPr>
              <w:t xml:space="preserve">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A48519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3A0DA57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056156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74161A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80D8EE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0F1B79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8.266,42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9DB1D9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9.120,00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BC90DA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110,3</w:t>
            </w:r>
          </w:p>
        </w:tc>
      </w:tr>
    </w:tbl>
    <w:p w14:paraId="38913E11" w14:textId="77777777" w:rsidR="001A051C" w:rsidRDefault="001A051C">
      <w:pPr>
        <w:spacing w:after="0"/>
      </w:pPr>
    </w:p>
    <w:p w14:paraId="3706E45F" w14:textId="77777777" w:rsidR="001A051C" w:rsidRDefault="00D609A6">
      <w:pPr>
        <w:spacing w:line="240" w:lineRule="auto"/>
        <w:jc w:val="both"/>
      </w:pPr>
      <w:r>
        <w:t xml:space="preserve">Prihod od prodaje i pruženih usluga povećani zbog većeg broja sklopljenih ugovora za najam školske dvorane (zbog loših vremenskih uvjeta </w:t>
      </w:r>
      <w:r>
        <w:t>ugovori su potpisani na dulje vremensko razdoblje).</w:t>
      </w:r>
    </w:p>
    <w:p w14:paraId="1E73F452" w14:textId="77777777" w:rsidR="001A051C" w:rsidRDefault="001A051C"/>
    <w:p w14:paraId="61709F2A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5883C3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9702F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5ACA5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10BC3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12C4E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17DFA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EBE38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148C892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FF27F2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AC3D24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</w:t>
            </w:r>
            <w:r>
              <w:rPr>
                <w:sz w:val="18"/>
              </w:rPr>
              <w:t>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B259D5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2D0C5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136.447,51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3FDFF1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152.825,80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7EF513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112,0</w:t>
            </w:r>
          </w:p>
        </w:tc>
      </w:tr>
    </w:tbl>
    <w:p w14:paraId="6E779B26" w14:textId="77777777" w:rsidR="001A051C" w:rsidRDefault="001A051C">
      <w:pPr>
        <w:spacing w:after="0"/>
      </w:pPr>
    </w:p>
    <w:p w14:paraId="7D880127" w14:textId="77777777" w:rsidR="001A051C" w:rsidRDefault="00D609A6">
      <w:pPr>
        <w:spacing w:line="240" w:lineRule="auto"/>
        <w:jc w:val="both"/>
      </w:pPr>
      <w:r>
        <w:t>Prihodi iz nadležnog proračuna BBŽ porasli su zbog ulaganja u nabavu sigurnosne brave u Učeničkom domu i poboljšanja materijalnih uvjeta pomoćnika u nastavi.</w:t>
      </w:r>
    </w:p>
    <w:p w14:paraId="65A13B36" w14:textId="77777777" w:rsidR="001A051C" w:rsidRDefault="001A051C"/>
    <w:p w14:paraId="7569852B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2A7B05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26BACE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D9582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18095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2A3BE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48A75E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499F8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1D32774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9641D9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6906E9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3AF3C2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A62E85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12.801,26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53845F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35.120,00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0A2B78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274,3</w:t>
            </w:r>
          </w:p>
        </w:tc>
      </w:tr>
    </w:tbl>
    <w:p w14:paraId="3416D315" w14:textId="77777777" w:rsidR="001A051C" w:rsidRDefault="001A051C">
      <w:pPr>
        <w:spacing w:after="0"/>
      </w:pPr>
    </w:p>
    <w:p w14:paraId="6AACA2DE" w14:textId="77777777" w:rsidR="001A051C" w:rsidRDefault="00D609A6">
      <w:pPr>
        <w:spacing w:line="240" w:lineRule="auto"/>
        <w:jc w:val="both"/>
      </w:pPr>
      <w:r>
        <w:t>Prihodi iz nadležnog proračuna BBŽ su  porasli bog dodatnog ulaganja u računalnu opremu za opremanje kabineta za smjer grafički dizajner.</w:t>
      </w:r>
    </w:p>
    <w:p w14:paraId="7BF12178" w14:textId="77777777" w:rsidR="001A051C" w:rsidRDefault="001A051C"/>
    <w:p w14:paraId="6C9DFE57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0AAF89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33324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1CFCE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1EF059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F77CA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759883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68B9D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7151392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3B36D7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B39E2F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izdataka za financijsku imovinu i otplatu zajmova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C8673C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2D53DE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F75B37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3.167,22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7338A7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40B83BC" w14:textId="77777777" w:rsidR="001A051C" w:rsidRDefault="001A051C">
      <w:pPr>
        <w:spacing w:after="0"/>
      </w:pPr>
    </w:p>
    <w:p w14:paraId="58C99E09" w14:textId="02AD505A" w:rsidR="001A051C" w:rsidRDefault="00D609A6">
      <w:pPr>
        <w:spacing w:line="240" w:lineRule="auto"/>
        <w:jc w:val="both"/>
      </w:pPr>
      <w:r>
        <w:t xml:space="preserve">Prihodi iz nadležnog proračuna BBŽ </w:t>
      </w:r>
      <w:r>
        <w:t xml:space="preserve">odnose se </w:t>
      </w:r>
      <w:r w:rsidR="00FE34A8">
        <w:t>sredstava</w:t>
      </w:r>
      <w:r>
        <w:t xml:space="preserve"> </w:t>
      </w:r>
      <w:r w:rsidR="00FE34A8">
        <w:t>namijenjena</w:t>
      </w:r>
      <w:r>
        <w:t xml:space="preserve"> otplati rata financijskog leasinga kojim se škola zadužila zbog nabave poslovnog vozila.  Uključuju 6 otplaćenih rata u 2025. g.</w:t>
      </w:r>
    </w:p>
    <w:p w14:paraId="49C097D6" w14:textId="77777777" w:rsidR="001A051C" w:rsidRDefault="001A051C"/>
    <w:p w14:paraId="7C8DBB0A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51EB6C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4D67B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90C5B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FD4549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57D28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</w:t>
            </w:r>
            <w:r>
              <w:rPr>
                <w:b/>
                <w:sz w:val="18"/>
              </w:rPr>
              <w:t>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33F95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F1E50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01D990D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AD2344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2EC238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DDA201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9CDB07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1.119.208,18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8B6D24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1.363.052,00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E6D081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121,8</w:t>
            </w:r>
          </w:p>
        </w:tc>
      </w:tr>
    </w:tbl>
    <w:p w14:paraId="1296A037" w14:textId="77777777" w:rsidR="001A051C" w:rsidRDefault="001A051C">
      <w:pPr>
        <w:spacing w:after="0"/>
      </w:pPr>
    </w:p>
    <w:p w14:paraId="378D071F" w14:textId="77777777" w:rsidR="001A051C" w:rsidRDefault="00D609A6">
      <w:pPr>
        <w:spacing w:line="240" w:lineRule="auto"/>
        <w:jc w:val="both"/>
      </w:pPr>
      <w:r>
        <w:t xml:space="preserve">Ukupni rashodi poslovanja rasli su za 21,8%. U nastavku slijedi detaljnije </w:t>
      </w:r>
      <w:r>
        <w:t>obrazloženje.</w:t>
      </w:r>
    </w:p>
    <w:p w14:paraId="3856F007" w14:textId="77777777" w:rsidR="001A051C" w:rsidRDefault="001A051C"/>
    <w:p w14:paraId="7A43061F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2A6317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4EBB5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75B79E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121F7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4DBD78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6A88F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1687C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256904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90784E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64191B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2419AC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F98E6F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935.447,39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DA25F2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1.178.115,60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EE84CA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125,9</w:t>
            </w:r>
          </w:p>
        </w:tc>
      </w:tr>
    </w:tbl>
    <w:p w14:paraId="48F11BF3" w14:textId="77777777" w:rsidR="001A051C" w:rsidRDefault="001A051C">
      <w:pPr>
        <w:spacing w:after="0"/>
      </w:pPr>
    </w:p>
    <w:p w14:paraId="64CA2266" w14:textId="77777777" w:rsidR="001A051C" w:rsidRDefault="00D609A6">
      <w:pPr>
        <w:spacing w:line="240" w:lineRule="auto"/>
        <w:jc w:val="both"/>
      </w:pPr>
      <w:r>
        <w:t xml:space="preserve">Rashodi za zaposlene, porasli za 25,9 % zbog rasta osnovice za plaće, zbog više realiziranih prekovremenih sati- zbog nedostataka kadra i  većih izdvajanja za plaće pomoćnika u nastavi, ali i zbog ukidanja konta 193110 na kojem je </w:t>
      </w:r>
      <w:r>
        <w:t>bila prikazana plaća za 6/2024, dok je plaća za razdoblje 6/2025  iskazana na kontima troškova pa je samim time i utjecala na rezultat poslovanja.</w:t>
      </w:r>
    </w:p>
    <w:p w14:paraId="39969D30" w14:textId="77777777" w:rsidR="001A051C" w:rsidRDefault="001A051C"/>
    <w:p w14:paraId="6219171F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50B542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98F48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EA9B7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5B00C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39458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2E3713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</w:t>
            </w:r>
            <w:r>
              <w:rPr>
                <w:b/>
                <w:sz w:val="18"/>
              </w:rPr>
              <w:t>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03894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6148315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CBCC4D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697D91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02E41D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F60E78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41.239,39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95D494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42.375,52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091A70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102,8</w:t>
            </w:r>
          </w:p>
        </w:tc>
      </w:tr>
    </w:tbl>
    <w:p w14:paraId="299AFEED" w14:textId="77777777" w:rsidR="001A051C" w:rsidRDefault="001A051C">
      <w:pPr>
        <w:spacing w:after="0"/>
      </w:pPr>
    </w:p>
    <w:p w14:paraId="3A3295C7" w14:textId="0F8AE485" w:rsidR="001A051C" w:rsidRDefault="00D609A6">
      <w:pPr>
        <w:spacing w:line="240" w:lineRule="auto"/>
        <w:jc w:val="both"/>
      </w:pPr>
      <w:r>
        <w:t xml:space="preserve">Naknada troškova za zaposlene rashodi su porasli za 2,8% zbog povećanja materijalnog prava zaposlenika za </w:t>
      </w:r>
      <w:r>
        <w:t xml:space="preserve">troškove prijevoza s </w:t>
      </w:r>
      <w:proofErr w:type="spellStart"/>
      <w:r>
        <w:t>pos</w:t>
      </w:r>
      <w:proofErr w:type="spellEnd"/>
      <w:r>
        <w:t xml:space="preserve">. na </w:t>
      </w:r>
      <w:proofErr w:type="spellStart"/>
      <w:r>
        <w:t>pos</w:t>
      </w:r>
      <w:proofErr w:type="spellEnd"/>
      <w:r>
        <w:t>., Sufinanciranjem cijene prijevoza os strane BBŽ-a povećao se omjer oporezivih i neoporezivih izdataka jer najveći</w:t>
      </w:r>
      <w:r>
        <w:t xml:space="preserve"> dio zaposlenika put</w:t>
      </w:r>
      <w:r w:rsidR="003E2CAA">
        <w:t>u</w:t>
      </w:r>
      <w:r>
        <w:t>je na posao osobnim automobilom.</w:t>
      </w:r>
    </w:p>
    <w:p w14:paraId="41A8B84D" w14:textId="77777777" w:rsidR="001A051C" w:rsidRDefault="001A051C"/>
    <w:p w14:paraId="00B346FB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1CFA79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B6B8F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E2B4E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42A06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10D99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</w:t>
            </w:r>
            <w:r>
              <w:rPr>
                <w:b/>
                <w:sz w:val="18"/>
              </w:rPr>
              <w:t>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77B8CB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F8F5C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4368B32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20E1B4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7FA3DD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materijal i energiju (šifre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BE1738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8DB98D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100.912,83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1439F3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89.529,92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001669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88,7</w:t>
            </w:r>
          </w:p>
        </w:tc>
      </w:tr>
    </w:tbl>
    <w:p w14:paraId="22ADC66C" w14:textId="77777777" w:rsidR="001A051C" w:rsidRDefault="001A051C">
      <w:pPr>
        <w:spacing w:after="0"/>
      </w:pPr>
    </w:p>
    <w:p w14:paraId="7FA1DC3F" w14:textId="77777777" w:rsidR="001A051C" w:rsidRDefault="00D609A6">
      <w:pPr>
        <w:spacing w:line="240" w:lineRule="auto"/>
        <w:jc w:val="both"/>
      </w:pPr>
      <w:r>
        <w:t xml:space="preserve">Rashodi za materijal i energiju smanjeni su u </w:t>
      </w:r>
      <w:r>
        <w:t>odnosu na prethodnu godinu</w:t>
      </w:r>
    </w:p>
    <w:p w14:paraId="7F8B53DF" w14:textId="77777777" w:rsidR="001A051C" w:rsidRDefault="001A051C"/>
    <w:p w14:paraId="1F1D7CF0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2AF95F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4EBE7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ED5BF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EE7EF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8A321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B033BB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BD808D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50E0583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C59698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2F1D1D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7C977B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CC417E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32.386,42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F969B2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27.388,21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58B338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84,6</w:t>
            </w:r>
          </w:p>
        </w:tc>
      </w:tr>
    </w:tbl>
    <w:p w14:paraId="49A50CE6" w14:textId="77777777" w:rsidR="001A051C" w:rsidRDefault="001A051C">
      <w:pPr>
        <w:spacing w:after="0"/>
      </w:pPr>
    </w:p>
    <w:p w14:paraId="5BECA201" w14:textId="77777777" w:rsidR="001A051C" w:rsidRDefault="00D609A6">
      <w:pPr>
        <w:spacing w:line="240" w:lineRule="auto"/>
        <w:jc w:val="both"/>
      </w:pPr>
      <w:r>
        <w:t>Smanjena su ulaganja u materijal i sirovine jer su prošle godine od strane MZOM-a odobrena dva projekta temeljem koji su se nabavljale sirovine i materijal za njihovu realizaciju dok ove godine nije bilo odobrenih projekata.</w:t>
      </w:r>
    </w:p>
    <w:p w14:paraId="200FE106" w14:textId="77777777" w:rsidR="001A051C" w:rsidRDefault="001A051C"/>
    <w:p w14:paraId="1C3862CC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49388E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32E7C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</w:t>
            </w:r>
            <w:r>
              <w:rPr>
                <w:b/>
                <w:sz w:val="18"/>
              </w:rPr>
              <w:t>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F1A11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BCEDBB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F8EFA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0DE56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2597A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25265B9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C86F7B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698977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CB7485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41E770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6.565,02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58745A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1.562,86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74712C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23,8</w:t>
            </w:r>
          </w:p>
        </w:tc>
      </w:tr>
    </w:tbl>
    <w:p w14:paraId="4B95331B" w14:textId="77777777" w:rsidR="001A051C" w:rsidRDefault="001A051C">
      <w:pPr>
        <w:spacing w:after="0"/>
      </w:pPr>
    </w:p>
    <w:p w14:paraId="35D67EEE" w14:textId="77777777" w:rsidR="001A051C" w:rsidRDefault="00D609A6">
      <w:pPr>
        <w:spacing w:line="240" w:lineRule="auto"/>
        <w:jc w:val="both"/>
      </w:pPr>
      <w:r>
        <w:t xml:space="preserve">Smanjena se ulaganja u sitni inventar (nije bilo </w:t>
      </w:r>
      <w:r>
        <w:t>potreba za novima nabavama).</w:t>
      </w:r>
    </w:p>
    <w:p w14:paraId="00D04E6D" w14:textId="77777777" w:rsidR="001A051C" w:rsidRDefault="001A051C"/>
    <w:p w14:paraId="525D5688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lastRenderedPageBreak/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5892D2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CD7C5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271DB9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AC041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24F36B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9B1148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F2E6F3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76115F8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9F1A0E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B753FD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1E06FF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FF48A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34.735,94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938E67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46.576,47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CAEDCC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134,1</w:t>
            </w:r>
          </w:p>
        </w:tc>
      </w:tr>
    </w:tbl>
    <w:p w14:paraId="138BD07C" w14:textId="77777777" w:rsidR="001A051C" w:rsidRDefault="001A051C">
      <w:pPr>
        <w:spacing w:after="0"/>
      </w:pPr>
    </w:p>
    <w:p w14:paraId="75C9EF4C" w14:textId="77777777" w:rsidR="001A051C" w:rsidRDefault="00D609A6">
      <w:pPr>
        <w:spacing w:line="240" w:lineRule="auto"/>
        <w:jc w:val="both"/>
      </w:pPr>
      <w:r>
        <w:t>Rashodi za usluge povećani su za 34,1 %.</w:t>
      </w:r>
    </w:p>
    <w:p w14:paraId="5EEE3709" w14:textId="77777777" w:rsidR="001A051C" w:rsidRDefault="001A051C"/>
    <w:p w14:paraId="73C23AFE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550E25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5E2399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88923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5DA4D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899EAE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99332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4B627D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0CDE173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C78C7A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64F41E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Usluge </w:t>
            </w:r>
            <w:r>
              <w:rPr>
                <w:sz w:val="18"/>
              </w:rPr>
              <w:t>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F60DE5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7FF2B7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5.738,10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8F3F3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20.766,36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7991E1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361,9</w:t>
            </w:r>
          </w:p>
        </w:tc>
      </w:tr>
    </w:tbl>
    <w:p w14:paraId="3F2E6956" w14:textId="77777777" w:rsidR="001A051C" w:rsidRDefault="001A051C">
      <w:pPr>
        <w:spacing w:after="0"/>
      </w:pPr>
    </w:p>
    <w:p w14:paraId="728BE178" w14:textId="77777777" w:rsidR="001A051C" w:rsidRDefault="00D609A6">
      <w:pPr>
        <w:spacing w:line="240" w:lineRule="auto"/>
        <w:jc w:val="both"/>
      </w:pPr>
      <w:r>
        <w:t xml:space="preserve">Utroškom viška prihoda iz prethodne godine izvršeni su </w:t>
      </w:r>
      <w:proofErr w:type="spellStart"/>
      <w:r>
        <w:t>ličilački</w:t>
      </w:r>
      <w:proofErr w:type="spellEnd"/>
      <w:r>
        <w:t xml:space="preserve"> radovi u Učeničkom domu i uređen je plato i vanjski okoliš oko montažne garaže.</w:t>
      </w:r>
    </w:p>
    <w:p w14:paraId="7B55B652" w14:textId="77777777" w:rsidR="001A051C" w:rsidRDefault="001A051C"/>
    <w:p w14:paraId="22406033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330697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B75A79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16948D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4D885E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7538E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146C4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89C2E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05443F1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EACD1E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CBC00E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93AFDB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CE2513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248,85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710C71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801,25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F709E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322,0</w:t>
            </w:r>
          </w:p>
        </w:tc>
      </w:tr>
    </w:tbl>
    <w:p w14:paraId="2633EF41" w14:textId="77777777" w:rsidR="001A051C" w:rsidRDefault="001A051C">
      <w:pPr>
        <w:spacing w:after="0"/>
      </w:pPr>
    </w:p>
    <w:p w14:paraId="316E4B0F" w14:textId="77777777" w:rsidR="001A051C" w:rsidRDefault="00D609A6">
      <w:pPr>
        <w:spacing w:line="240" w:lineRule="auto"/>
        <w:jc w:val="both"/>
      </w:pPr>
      <w:r>
        <w:t xml:space="preserve">Povećani zbog objave oglasa u Narodnim novinama za </w:t>
      </w:r>
      <w:r>
        <w:t>natječaj za radno mjesto ravnatelja škole.</w:t>
      </w:r>
    </w:p>
    <w:p w14:paraId="6F424BFF" w14:textId="77777777" w:rsidR="001A051C" w:rsidRDefault="001A051C"/>
    <w:p w14:paraId="5D6A75C3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66EF54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34AB0E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932388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C70460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FFCD5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753CB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A869C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6409707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9173EE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193294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B60553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F7056A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8.580,59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977931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9.398,56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113ACC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109,5</w:t>
            </w:r>
          </w:p>
        </w:tc>
      </w:tr>
    </w:tbl>
    <w:p w14:paraId="592C3C3A" w14:textId="77777777" w:rsidR="001A051C" w:rsidRDefault="001A051C">
      <w:pPr>
        <w:spacing w:after="0"/>
      </w:pPr>
    </w:p>
    <w:p w14:paraId="110F635A" w14:textId="2ADF00CE" w:rsidR="001A051C" w:rsidRDefault="00D609A6">
      <w:pPr>
        <w:spacing w:line="240" w:lineRule="auto"/>
        <w:jc w:val="both"/>
      </w:pPr>
      <w:r>
        <w:t xml:space="preserve">Troškovi su rasli zbog </w:t>
      </w:r>
      <w:r w:rsidR="003E2CAA">
        <w:t>povećanja</w:t>
      </w:r>
      <w:r>
        <w:t xml:space="preserve"> cijena komunalnih usluga.</w:t>
      </w:r>
    </w:p>
    <w:p w14:paraId="166324DA" w14:textId="77777777" w:rsidR="001A051C" w:rsidRDefault="001A051C"/>
    <w:p w14:paraId="748978AA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lastRenderedPageBreak/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3B4C3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E6F7C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BDA953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15A8ED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FE426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46F728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84B623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55DBA1C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3D3299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CB1C6F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0E83C0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E123C9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9.337,37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2690FC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4.345,63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9511E1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46,5</w:t>
            </w:r>
          </w:p>
        </w:tc>
      </w:tr>
    </w:tbl>
    <w:p w14:paraId="65DB3719" w14:textId="77777777" w:rsidR="001A051C" w:rsidRDefault="001A051C">
      <w:pPr>
        <w:spacing w:after="0"/>
      </w:pPr>
    </w:p>
    <w:p w14:paraId="25DD9D10" w14:textId="77777777" w:rsidR="001A051C" w:rsidRDefault="00D609A6">
      <w:pPr>
        <w:spacing w:line="240" w:lineRule="auto"/>
        <w:jc w:val="both"/>
      </w:pPr>
      <w:r>
        <w:t>Smanjeni su jer je manji broj zaposlenih ostvario pravo na sistematski pregled.</w:t>
      </w:r>
    </w:p>
    <w:p w14:paraId="41DF46A1" w14:textId="77777777" w:rsidR="001A051C" w:rsidRDefault="001A051C"/>
    <w:p w14:paraId="2DA563D5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2A0CE0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F3B7F3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E4A96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43191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25CD2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3B8C6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856F5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7F4339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13392A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84D993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financijski rashodi (šifre 3431 do 3434)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9BA3A8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E25A44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806,87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ADD4D2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542,26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CA4845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67,2</w:t>
            </w:r>
          </w:p>
        </w:tc>
      </w:tr>
    </w:tbl>
    <w:p w14:paraId="51050403" w14:textId="77777777" w:rsidR="001A051C" w:rsidRDefault="001A051C">
      <w:pPr>
        <w:spacing w:after="0"/>
      </w:pPr>
    </w:p>
    <w:p w14:paraId="4877BCBC" w14:textId="77777777" w:rsidR="001A051C" w:rsidRDefault="00D609A6">
      <w:pPr>
        <w:spacing w:line="240" w:lineRule="auto"/>
        <w:jc w:val="both"/>
      </w:pPr>
      <w:r>
        <w:t xml:space="preserve">Financijski rashodi smanjeni su zbog ukidanja vlastitog žiroračuna i prelaska na sustav potpune Riznice te je time </w:t>
      </w:r>
      <w:r>
        <w:t>ukinut trošak za bankarske usluge.</w:t>
      </w:r>
    </w:p>
    <w:p w14:paraId="34904360" w14:textId="77777777" w:rsidR="001A051C" w:rsidRDefault="001A051C"/>
    <w:p w14:paraId="1D7593DE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4DCA1E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B664E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49765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4DB69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6236D8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DE9F3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8FA56E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42C3AFB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F7DE1C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910B5FC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2247E8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2D746E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754,52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D8A868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810,40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C16EC8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107,4</w:t>
            </w:r>
          </w:p>
        </w:tc>
      </w:tr>
    </w:tbl>
    <w:p w14:paraId="68380C9D" w14:textId="77777777" w:rsidR="001A051C" w:rsidRDefault="001A051C">
      <w:pPr>
        <w:spacing w:after="0"/>
      </w:pPr>
    </w:p>
    <w:p w14:paraId="4948D1C7" w14:textId="77777777" w:rsidR="001A051C" w:rsidRDefault="00D609A6">
      <w:pPr>
        <w:spacing w:line="240" w:lineRule="auto"/>
        <w:jc w:val="both"/>
      </w:pPr>
      <w:r>
        <w:t>Tekuće donacije ostvarene su zbog uvođenja nacionalnog projekta podjele higijenskih potrepština učenicama, porasli su za 7,4% jer se broj učenica u odnosu na 2024 godinu povećao.</w:t>
      </w:r>
    </w:p>
    <w:p w14:paraId="09A4AAF8" w14:textId="77777777" w:rsidR="001A051C" w:rsidRDefault="001A051C"/>
    <w:p w14:paraId="0D3FA03F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643FB6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F3548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FF598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1A3B4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60E54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49213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8B68C9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3F86E12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5B1AA9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1ACC0A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Prijevozna sredstva u cestovnom prometu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128535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8D198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19DAC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EB436F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4794BBF" w14:textId="77777777" w:rsidR="001A051C" w:rsidRDefault="001A051C">
      <w:pPr>
        <w:spacing w:after="0"/>
      </w:pPr>
    </w:p>
    <w:p w14:paraId="2C5BB468" w14:textId="77777777" w:rsidR="001A051C" w:rsidRDefault="00D609A6">
      <w:pPr>
        <w:spacing w:line="240" w:lineRule="auto"/>
        <w:jc w:val="both"/>
      </w:pPr>
      <w:r>
        <w:t xml:space="preserve">Prihodi od prodaje nefinancijske imovine  povećani su zbog prodaje </w:t>
      </w:r>
      <w:r>
        <w:t>starog kombi vozila u vlasništvu škole.</w:t>
      </w:r>
    </w:p>
    <w:p w14:paraId="5524C156" w14:textId="77777777" w:rsidR="001A051C" w:rsidRDefault="001A051C"/>
    <w:p w14:paraId="7E19EBFC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lastRenderedPageBreak/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57F988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7F2A6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8A244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9FA65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BD47E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7D18C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2B6CC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1BCC1B5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06DC91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4872CD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nefinancijske imovine </w:t>
            </w:r>
            <w:r>
              <w:rPr>
                <w:sz w:val="18"/>
              </w:rPr>
              <w:t>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69114C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C93698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105.243,99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4068F1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44.857,73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06CBF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42,6</w:t>
            </w:r>
          </w:p>
        </w:tc>
      </w:tr>
    </w:tbl>
    <w:p w14:paraId="004203E5" w14:textId="77777777" w:rsidR="001A051C" w:rsidRDefault="001A051C">
      <w:pPr>
        <w:spacing w:after="0"/>
      </w:pPr>
    </w:p>
    <w:p w14:paraId="7F9C2481" w14:textId="77777777" w:rsidR="001A051C" w:rsidRDefault="00D609A6">
      <w:pPr>
        <w:spacing w:line="240" w:lineRule="auto"/>
        <w:jc w:val="both"/>
      </w:pPr>
      <w:r>
        <w:t>Rashodi za nabavu nefinancijske imovine smanjeni za 57,40% jer nije bilo donacija kao prethodne godine, no usprkos tome škola je ulagala u nefinancijsku imovinu</w:t>
      </w:r>
    </w:p>
    <w:p w14:paraId="24317189" w14:textId="77777777" w:rsidR="001A051C" w:rsidRDefault="001A051C"/>
    <w:p w14:paraId="17DD629F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04705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1D3D0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BB62D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Opis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CC243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95C50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B41A6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657CC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0152958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CD54E1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3E2AC8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FC1BD8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C4D123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47.140,65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97F0DF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34.396,82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008DF5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73,0</w:t>
            </w:r>
          </w:p>
        </w:tc>
      </w:tr>
    </w:tbl>
    <w:p w14:paraId="583FCF69" w14:textId="77777777" w:rsidR="001A051C" w:rsidRDefault="001A051C">
      <w:pPr>
        <w:spacing w:after="0"/>
      </w:pPr>
    </w:p>
    <w:p w14:paraId="2304C7CA" w14:textId="77777777" w:rsidR="001A051C" w:rsidRDefault="00D609A6">
      <w:pPr>
        <w:spacing w:line="240" w:lineRule="auto"/>
        <w:jc w:val="both"/>
      </w:pPr>
      <w:r>
        <w:t xml:space="preserve">Nabavljena je računalna oprema za opremanje kabineta </w:t>
      </w:r>
      <w:r>
        <w:t>grafičara u vrijednosti 28.600 eura, namještaj za učionicu grafičara 1.727,eur , pisač za potrebe rada tajnika škole 1.093 eura i zamjena uredskog dotrajalog namještaja u vrijednosti 3070 eura.</w:t>
      </w:r>
    </w:p>
    <w:p w14:paraId="09714AC1" w14:textId="77777777" w:rsidR="001A051C" w:rsidRDefault="001A051C"/>
    <w:p w14:paraId="5A4D94B2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6FB2F7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4E4E8C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28418D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679F4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55632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</w:t>
            </w:r>
            <w:r>
              <w:rPr>
                <w:b/>
                <w:sz w:val="18"/>
              </w:rPr>
              <w:t>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C956C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14314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24B5820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CC4A13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429D70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Oprema za održavanje i zaštitu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9E7FB1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959760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3.675,63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DCEAD5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4.310,21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29C69E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117,3</w:t>
            </w:r>
          </w:p>
        </w:tc>
      </w:tr>
    </w:tbl>
    <w:p w14:paraId="624B00DE" w14:textId="77777777" w:rsidR="001A051C" w:rsidRDefault="001A051C">
      <w:pPr>
        <w:spacing w:after="0"/>
      </w:pPr>
    </w:p>
    <w:p w14:paraId="726D1DCF" w14:textId="77777777" w:rsidR="001A051C" w:rsidRDefault="00D609A6">
      <w:pPr>
        <w:spacing w:line="240" w:lineRule="auto"/>
        <w:jc w:val="both"/>
      </w:pPr>
      <w:r>
        <w:t xml:space="preserve">Nabavljena je sigurnosna brava u vrijednosti 2.648 eura i kolica za čišćenje </w:t>
      </w:r>
      <w:r>
        <w:t xml:space="preserve">prostora 1.662 </w:t>
      </w:r>
      <w:proofErr w:type="spellStart"/>
      <w:r>
        <w:t>eur</w:t>
      </w:r>
      <w:proofErr w:type="spellEnd"/>
      <w:r>
        <w:t>.</w:t>
      </w:r>
    </w:p>
    <w:p w14:paraId="5F1D943F" w14:textId="77777777" w:rsidR="001A051C" w:rsidRDefault="001A051C"/>
    <w:p w14:paraId="0CCD0D15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688D8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7B8A1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6D555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6EF0C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17A89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AB2F00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36E8CB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3391A68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5DE697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63E8DA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E8BD4E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B2FF1A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956,25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F150E6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5.979,50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B97A32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625,3</w:t>
            </w:r>
          </w:p>
        </w:tc>
      </w:tr>
    </w:tbl>
    <w:p w14:paraId="75AF7FFB" w14:textId="77777777" w:rsidR="001A051C" w:rsidRDefault="001A051C">
      <w:pPr>
        <w:spacing w:after="0"/>
      </w:pPr>
    </w:p>
    <w:p w14:paraId="68CDBDB0" w14:textId="77777777" w:rsidR="001A051C" w:rsidRDefault="00D609A6">
      <w:pPr>
        <w:spacing w:line="240" w:lineRule="auto"/>
        <w:jc w:val="both"/>
      </w:pPr>
      <w:r>
        <w:t>Nabavljena je sušilica za potrebe Učeničkog doma te bušilice za opremanje stolarske radione.</w:t>
      </w:r>
    </w:p>
    <w:p w14:paraId="37F2EC5E" w14:textId="77777777" w:rsidR="001A051C" w:rsidRDefault="001A051C"/>
    <w:p w14:paraId="7D62AD68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lastRenderedPageBreak/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742B74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A37820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443B8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AC134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6BE92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DC41A6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CF7E4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649773F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2814B9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AFCB0F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0DCDB8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9A12CA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10.997,91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CFAE77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164.306,80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64F853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1494,0</w:t>
            </w:r>
          </w:p>
        </w:tc>
      </w:tr>
    </w:tbl>
    <w:p w14:paraId="2148FFE9" w14:textId="77777777" w:rsidR="001A051C" w:rsidRDefault="001A051C">
      <w:pPr>
        <w:spacing w:after="0"/>
      </w:pPr>
    </w:p>
    <w:p w14:paraId="088E4911" w14:textId="77777777" w:rsidR="001A051C" w:rsidRDefault="00D609A6">
      <w:pPr>
        <w:spacing w:line="240" w:lineRule="auto"/>
        <w:jc w:val="both"/>
      </w:pPr>
      <w:r>
        <w:t xml:space="preserve">Povećani su jer sada obuhvaćaju podatak potraživanja za plaće za mjesec lipanj </w:t>
      </w:r>
      <w:r>
        <w:t>2025.g.</w:t>
      </w:r>
    </w:p>
    <w:p w14:paraId="5595C639" w14:textId="77777777" w:rsidR="001A051C" w:rsidRDefault="001A051C"/>
    <w:p w14:paraId="6DE2699F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46A2B9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FAEEB3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A41F4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50768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DFF86D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4A5035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F3B63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271229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A0C882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2391F50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zaduživanja (šifre 841+842+843+844+845+847)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72EBBF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CAD441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44.341,08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3DA198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6D3836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7EE1957D" w14:textId="77777777" w:rsidR="001A051C" w:rsidRDefault="001A051C">
      <w:pPr>
        <w:spacing w:after="0"/>
      </w:pPr>
    </w:p>
    <w:p w14:paraId="2F30E0A9" w14:textId="77777777" w:rsidR="001A051C" w:rsidRDefault="00D609A6">
      <w:pPr>
        <w:spacing w:line="240" w:lineRule="auto"/>
        <w:jc w:val="both"/>
      </w:pPr>
      <w:r>
        <w:t>Ove godine zaduživanja nije bilo.</w:t>
      </w:r>
    </w:p>
    <w:p w14:paraId="01277DCD" w14:textId="77777777" w:rsidR="001A051C" w:rsidRDefault="001A051C"/>
    <w:p w14:paraId="6311E31C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0F4E49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42878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555F7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3C3EE3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453818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85E250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47D89F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0A07717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6638D2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9EA627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otplatu glavnice primljenih kredita i </w:t>
            </w:r>
            <w:r>
              <w:rPr>
                <w:sz w:val="18"/>
              </w:rPr>
              <w:t>zajmova (šifre 541+542+543+544+545+547)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592C83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0D91A7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999B72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3.167,22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ED2DEB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A993EBE" w14:textId="77777777" w:rsidR="001A051C" w:rsidRDefault="001A051C">
      <w:pPr>
        <w:spacing w:after="0"/>
      </w:pPr>
    </w:p>
    <w:p w14:paraId="4408EEAB" w14:textId="77777777" w:rsidR="001A051C" w:rsidRDefault="00D609A6">
      <w:pPr>
        <w:spacing w:line="240" w:lineRule="auto"/>
        <w:jc w:val="both"/>
      </w:pPr>
      <w:r>
        <w:t>Troškovi z leasing obroka za otplatu školskog kombija nabavljenog u 2024. g.</w:t>
      </w:r>
    </w:p>
    <w:p w14:paraId="25B8E253" w14:textId="77777777" w:rsidR="001A051C" w:rsidRDefault="001A051C"/>
    <w:p w14:paraId="40CF5994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1A051C" w14:paraId="238D8D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AC4AEB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C3168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43138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50F284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748EF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9C76FD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050FAAC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80B716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FC71ED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AB6E03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A8258F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22.883,29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B5A8D4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1AAA99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4516EC5B" w14:textId="77777777" w:rsidR="001A051C" w:rsidRDefault="001A051C">
      <w:pPr>
        <w:spacing w:after="0"/>
      </w:pPr>
    </w:p>
    <w:p w14:paraId="1B764005" w14:textId="77777777" w:rsidR="001A051C" w:rsidRDefault="00D609A6">
      <w:pPr>
        <w:spacing w:line="240" w:lineRule="auto"/>
        <w:jc w:val="both"/>
      </w:pPr>
      <w:r>
        <w:t xml:space="preserve">Sa 30.04.2025. ukinut je vlastiti žiro račun i Škola je </w:t>
      </w:r>
      <w:r>
        <w:t xml:space="preserve">uključena u sustav potpune Riznice sa Osnivačem Bjelovarsko-bilogorskom županijom.  Sredstava se nalaze na jedinstvenom računu i knjiže se na konto 167210. Na dan 30.06.2025. godine iznosila su 31.178,31 </w:t>
      </w:r>
      <w:proofErr w:type="spellStart"/>
      <w:r>
        <w:t>eur</w:t>
      </w:r>
      <w:proofErr w:type="spellEnd"/>
      <w:r>
        <w:t>.</w:t>
      </w:r>
    </w:p>
    <w:p w14:paraId="2282B4F1" w14:textId="77777777" w:rsidR="001A051C" w:rsidRDefault="001A051C"/>
    <w:p w14:paraId="0B645314" w14:textId="77777777" w:rsidR="001A051C" w:rsidRDefault="00D609A6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14:paraId="22D3CB5B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A051C" w14:paraId="6B966E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2D3887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DE5E0D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CAC56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02FDF8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D5E3F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1062269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0764A7" w14:textId="77777777" w:rsidR="001A051C" w:rsidRDefault="001A051C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ACFC04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4CD26A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30DF63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F69940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06FF9FA" w14:textId="77777777" w:rsidR="001A051C" w:rsidRDefault="001A051C">
      <w:pPr>
        <w:spacing w:after="0"/>
      </w:pPr>
    </w:p>
    <w:p w14:paraId="02D5B45B" w14:textId="77777777" w:rsidR="001A051C" w:rsidRDefault="00D609A6">
      <w:pPr>
        <w:spacing w:line="240" w:lineRule="auto"/>
        <w:jc w:val="both"/>
      </w:pPr>
      <w:r>
        <w:t xml:space="preserve">Na kraju izvještajnog razdoblja dospjelih obveza nije bilo. Sve obveze podmirene su u </w:t>
      </w:r>
      <w:r>
        <w:t>dogovorenim rokovima.</w:t>
      </w:r>
    </w:p>
    <w:p w14:paraId="5B74B3F0" w14:textId="77777777" w:rsidR="001A051C" w:rsidRDefault="001A051C"/>
    <w:p w14:paraId="2727F6D4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A051C" w14:paraId="1AD28C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34D81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51CEB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74AB82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E4705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B5C851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4A6A396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6C1DCC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dio 25,26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BFD721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ACD36C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 dio 25,26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37A62E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38.534,51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EF2BA5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827E8F2" w14:textId="77777777" w:rsidR="001A051C" w:rsidRDefault="001A051C">
      <w:pPr>
        <w:spacing w:after="0"/>
      </w:pPr>
    </w:p>
    <w:p w14:paraId="5E207A48" w14:textId="2352B7A2" w:rsidR="001A051C" w:rsidRDefault="00D609A6">
      <w:pPr>
        <w:spacing w:line="240" w:lineRule="auto"/>
        <w:jc w:val="both"/>
      </w:pPr>
      <w:r>
        <w:t xml:space="preserve">Ostvarene obveze odnose se na primljeni leasing od  UNI CREDIT CROATIA d.o.o. Ugovorom o </w:t>
      </w:r>
      <w:r>
        <w:t>financijskom leasingu br. 263560/24 iz 2024. godine. Škola se zadužila zbog nabave novog prijevoznog sredstva</w:t>
      </w:r>
      <w:r>
        <w:t xml:space="preserve"> za potrebe Škole i Učeničkog doma. Navedeni iznos biti će otplaćen kroz šest godina (ukupno</w:t>
      </w:r>
      <w:r>
        <w:t xml:space="preserve"> trajanje</w:t>
      </w:r>
      <w:r>
        <w:t xml:space="preserve"> leasinga - sedam godina).</w:t>
      </w:r>
    </w:p>
    <w:p w14:paraId="1F000B5A" w14:textId="77777777" w:rsidR="001A051C" w:rsidRDefault="001A051C"/>
    <w:p w14:paraId="5FC04473" w14:textId="77777777" w:rsidR="001A051C" w:rsidRDefault="00D609A6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1A051C" w14:paraId="4C18DF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0ED7ED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</w:t>
            </w:r>
            <w:r>
              <w:rPr>
                <w:b/>
                <w:sz w:val="18"/>
              </w:rPr>
              <w:t xml:space="preserve">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7E8B5E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B5811E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27524A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8C9410" w14:textId="77777777" w:rsidR="001A051C" w:rsidRDefault="00D609A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1A051C" w14:paraId="2502204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474D8B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76C096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C71456" w14:textId="77777777" w:rsidR="001A051C" w:rsidRDefault="00D609A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63D28D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5.156,74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91449E" w14:textId="77777777" w:rsidR="001A051C" w:rsidRDefault="00D609A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D9C9363" w14:textId="77777777" w:rsidR="001A051C" w:rsidRDefault="001A051C">
      <w:pPr>
        <w:spacing w:after="0"/>
      </w:pPr>
    </w:p>
    <w:p w14:paraId="5ACF3021" w14:textId="77777777" w:rsidR="001A051C" w:rsidRDefault="00D609A6">
      <w:pPr>
        <w:spacing w:line="240" w:lineRule="auto"/>
        <w:jc w:val="both"/>
      </w:pPr>
      <w:r>
        <w:t xml:space="preserve">Navedene obveze su međusobne obveze proračunskih korisnika (bolovanje na teret HZZO za  dana za koje je HZZO dužan </w:t>
      </w:r>
      <w:r>
        <w:t xml:space="preserve">refundirati u MZOM)u iznosu 5.156,74 </w:t>
      </w:r>
      <w:proofErr w:type="spellStart"/>
      <w:r>
        <w:t>eur</w:t>
      </w:r>
      <w:proofErr w:type="spellEnd"/>
      <w:r>
        <w:t>.</w:t>
      </w:r>
    </w:p>
    <w:p w14:paraId="597642CB" w14:textId="77777777" w:rsidR="001A051C" w:rsidRDefault="001A051C"/>
    <w:sectPr w:rsidR="001A0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1C"/>
    <w:rsid w:val="001A051C"/>
    <w:rsid w:val="003E2CAA"/>
    <w:rsid w:val="005A067E"/>
    <w:rsid w:val="00D609A6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8229"/>
  <w15:docId w15:val="{194752FE-C316-49AE-828D-8D81EC23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2412</Words>
  <Characters>13750</Characters>
  <Application>Microsoft Office Word</Application>
  <DocSecurity>0</DocSecurity>
  <Lines>114</Lines>
  <Paragraphs>32</Paragraphs>
  <ScaleCrop>false</ScaleCrop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5</cp:revision>
  <dcterms:created xsi:type="dcterms:W3CDTF">2025-07-10T10:25:00Z</dcterms:created>
  <dcterms:modified xsi:type="dcterms:W3CDTF">2025-07-10T10:26:00Z</dcterms:modified>
</cp:coreProperties>
</file>