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E15" w:rsidRPr="00694486" w:rsidRDefault="00542E15" w:rsidP="00542E15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694486">
        <w:rPr>
          <w:rFonts w:ascii="Times New Roman" w:hAnsi="Times New Roman"/>
          <w:b/>
          <w:bCs/>
          <w:sz w:val="22"/>
          <w:szCs w:val="22"/>
        </w:rPr>
        <w:t>SS ˝AUGUST ŠENOA˝ GAREŠNICA</w:t>
      </w:r>
    </w:p>
    <w:p w:rsidR="00542E15" w:rsidRPr="00694486" w:rsidRDefault="00542E15" w:rsidP="00542E15">
      <w:pPr>
        <w:rPr>
          <w:rFonts w:ascii="Times New Roman" w:hAnsi="Times New Roman"/>
          <w:sz w:val="22"/>
          <w:szCs w:val="22"/>
        </w:rPr>
      </w:pPr>
      <w:r w:rsidRPr="00694486">
        <w:rPr>
          <w:rFonts w:ascii="Times New Roman" w:hAnsi="Times New Roman"/>
          <w:sz w:val="22"/>
          <w:szCs w:val="22"/>
        </w:rPr>
        <w:t xml:space="preserve">BJELOVARSKO-BILOGORSKA ŽUPANIJA                </w:t>
      </w:r>
      <w:r w:rsidR="001A3F58">
        <w:rPr>
          <w:rFonts w:ascii="Times New Roman" w:hAnsi="Times New Roman"/>
          <w:sz w:val="22"/>
          <w:szCs w:val="22"/>
        </w:rPr>
        <w:t xml:space="preserve">                                                                          </w:t>
      </w:r>
      <w:r w:rsidRPr="00694486">
        <w:rPr>
          <w:rFonts w:ascii="Times New Roman" w:hAnsi="Times New Roman"/>
          <w:sz w:val="22"/>
          <w:szCs w:val="22"/>
        </w:rPr>
        <w:t xml:space="preserve">    </w:t>
      </w:r>
      <w:r w:rsidR="001A3F58">
        <w:rPr>
          <w:rFonts w:ascii="Times New Roman" w:hAnsi="Times New Roman"/>
          <w:sz w:val="22"/>
          <w:szCs w:val="22"/>
        </w:rPr>
        <w:t xml:space="preserve">                                      </w:t>
      </w:r>
      <w:r w:rsidRPr="00694486">
        <w:rPr>
          <w:rFonts w:ascii="Times New Roman" w:hAnsi="Times New Roman"/>
          <w:sz w:val="22"/>
          <w:szCs w:val="22"/>
        </w:rPr>
        <w:t xml:space="preserve">     </w:t>
      </w:r>
      <w:r w:rsidR="004A3C6E">
        <w:rPr>
          <w:rFonts w:ascii="Times New Roman" w:hAnsi="Times New Roman"/>
          <w:sz w:val="22"/>
          <w:szCs w:val="22"/>
        </w:rPr>
        <w:t xml:space="preserve"> </w:t>
      </w:r>
      <w:r w:rsidRPr="00694486">
        <w:rPr>
          <w:rFonts w:ascii="Times New Roman" w:hAnsi="Times New Roman"/>
          <w:sz w:val="22"/>
          <w:szCs w:val="22"/>
        </w:rPr>
        <w:t>RKP: 18872</w:t>
      </w:r>
    </w:p>
    <w:p w:rsidR="00542E15" w:rsidRPr="00694486" w:rsidRDefault="00542E15" w:rsidP="00542E15">
      <w:pPr>
        <w:rPr>
          <w:rFonts w:ascii="Times New Roman" w:hAnsi="Times New Roman"/>
          <w:sz w:val="22"/>
          <w:szCs w:val="22"/>
        </w:rPr>
      </w:pPr>
      <w:r w:rsidRPr="00694486">
        <w:rPr>
          <w:rFonts w:ascii="Times New Roman" w:hAnsi="Times New Roman"/>
          <w:sz w:val="22"/>
          <w:szCs w:val="22"/>
        </w:rPr>
        <w:t xml:space="preserve">KOLODVORSKA 6, GAREŠNICA             </w:t>
      </w:r>
      <w:r>
        <w:rPr>
          <w:rFonts w:ascii="Times New Roman" w:hAnsi="Times New Roman"/>
          <w:sz w:val="22"/>
          <w:szCs w:val="22"/>
        </w:rPr>
        <w:t xml:space="preserve">                              </w:t>
      </w:r>
      <w:r w:rsidR="001A3F58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</w:t>
      </w:r>
      <w:r w:rsidRPr="00694486">
        <w:rPr>
          <w:rFonts w:ascii="Times New Roman" w:hAnsi="Times New Roman"/>
          <w:sz w:val="22"/>
          <w:szCs w:val="22"/>
        </w:rPr>
        <w:t>MATIČNI BROJ:</w:t>
      </w:r>
      <w:r w:rsidR="001A3F5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</w:t>
      </w:r>
      <w:r w:rsidRPr="00694486">
        <w:rPr>
          <w:rFonts w:ascii="Times New Roman" w:hAnsi="Times New Roman"/>
          <w:sz w:val="22"/>
          <w:szCs w:val="22"/>
        </w:rPr>
        <w:t>03035638</w:t>
      </w:r>
    </w:p>
    <w:p w:rsidR="00A771D1" w:rsidRPr="00A771D1" w:rsidRDefault="004A3C6E" w:rsidP="00542E1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OIB:  4</w:t>
      </w:r>
      <w:r w:rsidR="00542E15" w:rsidRPr="00694486">
        <w:rPr>
          <w:rFonts w:ascii="Times New Roman" w:hAnsi="Times New Roman"/>
          <w:sz w:val="22"/>
          <w:szCs w:val="22"/>
        </w:rPr>
        <w:t>2705283746</w:t>
      </w:r>
    </w:p>
    <w:p w:rsidR="00542E15" w:rsidRPr="00694486" w:rsidRDefault="00542E15" w:rsidP="00542E15">
      <w:pPr>
        <w:rPr>
          <w:rFonts w:ascii="Times New Roman" w:hAnsi="Times New Roman"/>
          <w:b/>
        </w:rPr>
      </w:pPr>
    </w:p>
    <w:p w:rsidR="00542E15" w:rsidRDefault="000B666F" w:rsidP="00542E15">
      <w:pPr>
        <w:pStyle w:val="Naslov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OBRAZLOŽENJE</w:t>
      </w:r>
    </w:p>
    <w:p w:rsidR="00542E15" w:rsidRPr="00542E15" w:rsidRDefault="00542E15" w:rsidP="00542E15"/>
    <w:p w:rsidR="00542E15" w:rsidRDefault="00542E15" w:rsidP="00542E1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  <w:r w:rsidR="00EF0A8A">
        <w:rPr>
          <w:rFonts w:ascii="Times New Roman" w:hAnsi="Times New Roman"/>
          <w:b/>
        </w:rPr>
        <w:t xml:space="preserve">                             </w:t>
      </w:r>
      <w:r>
        <w:rPr>
          <w:rFonts w:ascii="Times New Roman" w:hAnsi="Times New Roman"/>
          <w:b/>
        </w:rPr>
        <w:t xml:space="preserve"> Izvještaj</w:t>
      </w:r>
      <w:r w:rsidR="000B666F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 xml:space="preserve"> o</w:t>
      </w:r>
      <w:r w:rsidR="00C4076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izvršenju financijskog pla</w:t>
      </w:r>
      <w:r w:rsidR="008D0B30">
        <w:rPr>
          <w:rFonts w:ascii="Times New Roman" w:hAnsi="Times New Roman"/>
          <w:b/>
        </w:rPr>
        <w:t>na za razdoblje 01.01.2024. – 31.12</w:t>
      </w:r>
      <w:r w:rsidR="00416454">
        <w:rPr>
          <w:rFonts w:ascii="Times New Roman" w:hAnsi="Times New Roman"/>
          <w:b/>
        </w:rPr>
        <w:t>.2024</w:t>
      </w:r>
      <w:r>
        <w:rPr>
          <w:rFonts w:ascii="Times New Roman" w:hAnsi="Times New Roman"/>
          <w:b/>
        </w:rPr>
        <w:t>.</w:t>
      </w:r>
    </w:p>
    <w:p w:rsidR="00542E15" w:rsidRDefault="00542E15" w:rsidP="00542E15">
      <w:pPr>
        <w:rPr>
          <w:rFonts w:ascii="Times New Roman" w:hAnsi="Times New Roman"/>
          <w:b/>
        </w:rPr>
      </w:pPr>
    </w:p>
    <w:p w:rsidR="00307D7C" w:rsidRDefault="00542E15" w:rsidP="00542E15">
      <w:pPr>
        <w:rPr>
          <w:rFonts w:ascii="Times New Roman" w:hAnsi="Times New Roman"/>
        </w:rPr>
      </w:pPr>
      <w:r>
        <w:rPr>
          <w:rFonts w:ascii="Times New Roman" w:hAnsi="Times New Roman"/>
        </w:rPr>
        <w:t>na temelju čl</w:t>
      </w:r>
      <w:r w:rsidR="007906CE">
        <w:rPr>
          <w:rFonts w:ascii="Times New Roman" w:hAnsi="Times New Roman"/>
        </w:rPr>
        <w:t>anka 76. Zakona o proračunu (NN 144</w:t>
      </w:r>
      <w:r>
        <w:rPr>
          <w:rFonts w:ascii="Times New Roman" w:hAnsi="Times New Roman"/>
        </w:rPr>
        <w:t>/2021), Pravilnika o polugodišnjem i godišnjem izvještaju o izvršenju Proračuna (NN</w:t>
      </w:r>
      <w:r w:rsidR="007906CE">
        <w:rPr>
          <w:rFonts w:ascii="Times New Roman" w:hAnsi="Times New Roman"/>
        </w:rPr>
        <w:t xml:space="preserve"> 85/2023) i članka 24</w:t>
      </w:r>
      <w:r>
        <w:rPr>
          <w:rFonts w:ascii="Times New Roman" w:hAnsi="Times New Roman"/>
        </w:rPr>
        <w:t xml:space="preserve">. Statuta Srednje škole ˝August Šenoa ˝ Garešnica  </w:t>
      </w:r>
      <w:r w:rsidR="00307D7C">
        <w:rPr>
          <w:rFonts w:ascii="Times New Roman" w:hAnsi="Times New Roman"/>
        </w:rPr>
        <w:t>Škols</w:t>
      </w:r>
      <w:r w:rsidR="00205A4C">
        <w:rPr>
          <w:rFonts w:ascii="Times New Roman" w:hAnsi="Times New Roman"/>
        </w:rPr>
        <w:t>k</w:t>
      </w:r>
      <w:r w:rsidR="008D0B30">
        <w:rPr>
          <w:rFonts w:ascii="Times New Roman" w:hAnsi="Times New Roman"/>
        </w:rPr>
        <w:t xml:space="preserve">i odbor na </w:t>
      </w:r>
      <w:r w:rsidR="00715B6B">
        <w:rPr>
          <w:rFonts w:ascii="Times New Roman" w:hAnsi="Times New Roman"/>
        </w:rPr>
        <w:t>sjednici održanoj 19</w:t>
      </w:r>
      <w:r w:rsidR="007906CE">
        <w:rPr>
          <w:rFonts w:ascii="Times New Roman" w:hAnsi="Times New Roman"/>
        </w:rPr>
        <w:t>.</w:t>
      </w:r>
      <w:r w:rsidR="008D0B30">
        <w:rPr>
          <w:rFonts w:ascii="Times New Roman" w:hAnsi="Times New Roman"/>
        </w:rPr>
        <w:t>02.2025</w:t>
      </w:r>
      <w:r w:rsidR="00307D7C">
        <w:rPr>
          <w:rFonts w:ascii="Times New Roman" w:hAnsi="Times New Roman"/>
        </w:rPr>
        <w:t>.  donio je Izvještaj o izvršenju financijskog plana za razdoblje 1.1</w:t>
      </w:r>
      <w:r w:rsidR="008D0B30">
        <w:rPr>
          <w:rFonts w:ascii="Times New Roman" w:hAnsi="Times New Roman"/>
        </w:rPr>
        <w:t>.24. do 31.12</w:t>
      </w:r>
      <w:r w:rsidR="00416454">
        <w:rPr>
          <w:rFonts w:ascii="Times New Roman" w:hAnsi="Times New Roman"/>
        </w:rPr>
        <w:t>.2024</w:t>
      </w:r>
      <w:r w:rsidR="00307D7C">
        <w:rPr>
          <w:rFonts w:ascii="Times New Roman" w:hAnsi="Times New Roman"/>
        </w:rPr>
        <w:t>.</w:t>
      </w:r>
    </w:p>
    <w:p w:rsidR="00307D7C" w:rsidRDefault="00307D7C" w:rsidP="00542E15">
      <w:pPr>
        <w:rPr>
          <w:rFonts w:ascii="Times New Roman" w:hAnsi="Times New Roman"/>
        </w:rPr>
      </w:pPr>
      <w:r>
        <w:rPr>
          <w:rFonts w:ascii="Times New Roman" w:hAnsi="Times New Roman"/>
        </w:rPr>
        <w:t>Izvještaj se sa</w:t>
      </w:r>
      <w:r w:rsidR="007906CE">
        <w:rPr>
          <w:rFonts w:ascii="Times New Roman" w:hAnsi="Times New Roman"/>
        </w:rPr>
        <w:t xml:space="preserve">stoji o Općeg dijela proračuna </w:t>
      </w:r>
      <w:r>
        <w:rPr>
          <w:rFonts w:ascii="Times New Roman" w:hAnsi="Times New Roman"/>
        </w:rPr>
        <w:t xml:space="preserve">i  </w:t>
      </w:r>
      <w:r w:rsidR="00E73FEC">
        <w:rPr>
          <w:rFonts w:ascii="Times New Roman" w:hAnsi="Times New Roman"/>
        </w:rPr>
        <w:t>P</w:t>
      </w:r>
      <w:r>
        <w:rPr>
          <w:rFonts w:ascii="Times New Roman" w:hAnsi="Times New Roman"/>
        </w:rPr>
        <w:t>osebnog dijela proračuna (</w:t>
      </w:r>
      <w:r w:rsidR="007906CE">
        <w:rPr>
          <w:rFonts w:ascii="Times New Roman" w:hAnsi="Times New Roman"/>
        </w:rPr>
        <w:t>tablice u privitku).</w:t>
      </w:r>
    </w:p>
    <w:p w:rsidR="007906CE" w:rsidRDefault="007906CE" w:rsidP="00542E15">
      <w:pPr>
        <w:rPr>
          <w:rFonts w:ascii="Times New Roman" w:hAnsi="Times New Roman"/>
        </w:rPr>
      </w:pPr>
    </w:p>
    <w:p w:rsidR="007906CE" w:rsidRPr="00350B52" w:rsidRDefault="007906CE" w:rsidP="007906CE">
      <w:pPr>
        <w:jc w:val="center"/>
        <w:rPr>
          <w:rFonts w:ascii="Times New Roman" w:hAnsi="Times New Roman"/>
          <w:b/>
        </w:rPr>
      </w:pPr>
      <w:r w:rsidRPr="00350B52">
        <w:rPr>
          <w:rFonts w:ascii="Times New Roman" w:hAnsi="Times New Roman"/>
          <w:b/>
        </w:rPr>
        <w:t>I  OPĆI  DIO  PRORAČUNA</w:t>
      </w:r>
    </w:p>
    <w:p w:rsidR="001A3F58" w:rsidRDefault="001A3F58" w:rsidP="000B666F">
      <w:pPr>
        <w:jc w:val="both"/>
        <w:rPr>
          <w:rFonts w:ascii="Arial" w:hAnsi="Arial" w:cs="Arial"/>
        </w:rPr>
      </w:pPr>
    </w:p>
    <w:tbl>
      <w:tblPr>
        <w:tblW w:w="15417" w:type="dxa"/>
        <w:jc w:val="center"/>
        <w:tblLook w:val="04A0" w:firstRow="1" w:lastRow="0" w:firstColumn="1" w:lastColumn="0" w:noHBand="0" w:noVBand="1"/>
      </w:tblPr>
      <w:tblGrid>
        <w:gridCol w:w="5150"/>
        <w:gridCol w:w="330"/>
        <w:gridCol w:w="333"/>
        <w:gridCol w:w="2739"/>
        <w:gridCol w:w="1836"/>
        <w:gridCol w:w="2739"/>
        <w:gridCol w:w="1145"/>
        <w:gridCol w:w="1145"/>
      </w:tblGrid>
      <w:tr w:rsidR="00E226B8" w:rsidRPr="00E226B8" w:rsidTr="008262DE">
        <w:trPr>
          <w:trHeight w:val="302"/>
          <w:jc w:val="center"/>
        </w:trPr>
        <w:tc>
          <w:tcPr>
            <w:tcW w:w="58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26B8" w:rsidRPr="00E226B8" w:rsidRDefault="00E226B8" w:rsidP="00E226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26B8">
              <w:rPr>
                <w:rFonts w:ascii="Arial" w:hAnsi="Arial" w:cs="Arial"/>
                <w:b/>
                <w:bCs/>
                <w:sz w:val="20"/>
                <w:szCs w:val="20"/>
              </w:rPr>
              <w:t>SAŽETAK RAČUNA PRIHODA I RASHODA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26B8" w:rsidRPr="00E226B8" w:rsidRDefault="00E226B8" w:rsidP="00E226B8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E226B8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26B8" w:rsidRPr="00E226B8" w:rsidRDefault="00E226B8" w:rsidP="00E226B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226B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26B8" w:rsidRPr="00E226B8" w:rsidRDefault="00E226B8" w:rsidP="00E226B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226B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26B8" w:rsidRPr="00E226B8" w:rsidRDefault="00E226B8" w:rsidP="00E226B8">
            <w:pPr>
              <w:jc w:val="right"/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</w:pPr>
            <w:r w:rsidRPr="00E226B8"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26B8" w:rsidRPr="00E226B8" w:rsidRDefault="00E226B8" w:rsidP="00E226B8">
            <w:pPr>
              <w:jc w:val="right"/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</w:pPr>
            <w:r w:rsidRPr="00E226B8"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E226B8" w:rsidRPr="00E226B8" w:rsidTr="008262DE">
        <w:trPr>
          <w:trHeight w:val="428"/>
          <w:jc w:val="center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6B8" w:rsidRPr="00E226B8" w:rsidRDefault="00E226B8" w:rsidP="00E226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26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BROJČANA OZNAKA I NAZIV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6B8" w:rsidRPr="00E226B8" w:rsidRDefault="00416454" w:rsidP="00E226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OSTVARENJE/IZVRŠENJE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2023</w:t>
            </w:r>
            <w:r w:rsidR="00E226B8" w:rsidRPr="00E226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6B8" w:rsidRPr="00E226B8" w:rsidRDefault="00416454" w:rsidP="00E226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25C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TEKUĆ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PLAN 2024</w:t>
            </w:r>
            <w:r w:rsidR="00E226B8" w:rsidRPr="00E226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.*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6B8" w:rsidRPr="00E226B8" w:rsidRDefault="00227873" w:rsidP="00E226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OSTVARENJE/IZVRŠENJE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2024</w:t>
            </w:r>
            <w:r w:rsidR="00E226B8" w:rsidRPr="00E226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6B8" w:rsidRPr="00E226B8" w:rsidRDefault="00E226B8" w:rsidP="00E226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26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INDEKS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6B8" w:rsidRPr="00E226B8" w:rsidRDefault="00E226B8" w:rsidP="00E226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26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INDEKS**</w:t>
            </w:r>
          </w:p>
        </w:tc>
      </w:tr>
      <w:tr w:rsidR="00E226B8" w:rsidRPr="00E226B8" w:rsidTr="008262DE">
        <w:trPr>
          <w:trHeight w:val="252"/>
          <w:jc w:val="center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6B8" w:rsidRPr="00E226B8" w:rsidRDefault="00E226B8" w:rsidP="00E226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26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6B8" w:rsidRPr="00E226B8" w:rsidRDefault="00E226B8" w:rsidP="00E226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26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B8" w:rsidRPr="00E226B8" w:rsidRDefault="00E226B8" w:rsidP="00E226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26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B8" w:rsidRPr="00E226B8" w:rsidRDefault="00E226B8" w:rsidP="00E226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26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B8" w:rsidRPr="00E226B8" w:rsidRDefault="00E226B8" w:rsidP="00E226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26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5=4/2*100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B8" w:rsidRPr="00E226B8" w:rsidRDefault="00E226B8" w:rsidP="00E226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26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6=4/3*100</w:t>
            </w:r>
          </w:p>
        </w:tc>
      </w:tr>
      <w:tr w:rsidR="00A771D1" w:rsidRPr="00E226B8" w:rsidTr="00ED20B7">
        <w:trPr>
          <w:trHeight w:val="252"/>
          <w:jc w:val="center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:rsidR="00A771D1" w:rsidRPr="00A771D1" w:rsidRDefault="00A771D1" w:rsidP="00A771D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 RAČUN PRIHODA I RASHODA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A771D1" w:rsidRPr="00E226B8" w:rsidRDefault="00A771D1" w:rsidP="00E226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A771D1" w:rsidRPr="00E226B8" w:rsidRDefault="00A771D1" w:rsidP="00E226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A771D1" w:rsidRPr="00E226B8" w:rsidRDefault="00A771D1" w:rsidP="00E226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A771D1" w:rsidRPr="00E226B8" w:rsidRDefault="00A771D1" w:rsidP="00E226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A771D1" w:rsidRPr="00E226B8" w:rsidRDefault="00A771D1" w:rsidP="00E226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226B8" w:rsidRPr="00E226B8" w:rsidTr="008262DE">
        <w:trPr>
          <w:trHeight w:val="252"/>
          <w:jc w:val="center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6B8" w:rsidRPr="00E226B8" w:rsidRDefault="00E226B8" w:rsidP="00E22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26B8">
              <w:rPr>
                <w:rFonts w:ascii="Arial" w:hAnsi="Arial" w:cs="Arial"/>
                <w:b/>
                <w:bCs/>
                <w:sz w:val="20"/>
                <w:szCs w:val="20"/>
              </w:rPr>
              <w:t>6 PRIHODI POSLOVANJA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6B8" w:rsidRPr="00E226B8" w:rsidRDefault="008262DE" w:rsidP="00E22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1.912.314,18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B8" w:rsidRPr="00E226B8" w:rsidRDefault="008262DE" w:rsidP="00E226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2.370.480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B8" w:rsidRPr="00E226B8" w:rsidRDefault="008262DE" w:rsidP="002278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2.296.940,76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B8" w:rsidRPr="00E226B8" w:rsidRDefault="008262DE" w:rsidP="00E226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120,11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B8" w:rsidRPr="00E226B8" w:rsidRDefault="008262DE" w:rsidP="00E226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94,80</w:t>
            </w:r>
          </w:p>
        </w:tc>
      </w:tr>
      <w:tr w:rsidR="00E226B8" w:rsidRPr="00E226B8" w:rsidTr="008262DE">
        <w:trPr>
          <w:trHeight w:val="252"/>
          <w:jc w:val="center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26B8" w:rsidRPr="00E226B8" w:rsidRDefault="00E226B8" w:rsidP="00E22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26B8">
              <w:rPr>
                <w:rFonts w:ascii="Arial" w:hAnsi="Arial" w:cs="Arial"/>
                <w:b/>
                <w:bCs/>
                <w:sz w:val="20"/>
                <w:szCs w:val="20"/>
              </w:rPr>
              <w:t>7 PRIHODI OD PRODAJE NEFINANCIJSKE IMOVINE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6B8" w:rsidRPr="00E226B8" w:rsidRDefault="008262DE" w:rsidP="00E22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89,27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B8" w:rsidRPr="00E226B8" w:rsidRDefault="008262DE" w:rsidP="00E226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B8" w:rsidRPr="00E226B8" w:rsidRDefault="00227873" w:rsidP="00E226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49,46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B8" w:rsidRPr="00E226B8" w:rsidRDefault="008262DE" w:rsidP="00E226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55,4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B8" w:rsidRPr="00E226B8" w:rsidRDefault="008262DE" w:rsidP="00E226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98,92</w:t>
            </w:r>
          </w:p>
        </w:tc>
      </w:tr>
      <w:tr w:rsidR="00E226B8" w:rsidRPr="00E226B8" w:rsidTr="008262DE">
        <w:trPr>
          <w:trHeight w:val="252"/>
          <w:jc w:val="center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6B8" w:rsidRPr="00E226B8" w:rsidRDefault="00E226B8" w:rsidP="00E22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26B8">
              <w:rPr>
                <w:rFonts w:ascii="Arial" w:hAnsi="Arial" w:cs="Arial"/>
                <w:b/>
                <w:bCs/>
                <w:sz w:val="20"/>
                <w:szCs w:val="20"/>
              </w:rPr>
              <w:t>3 RASHODI  POSLOVANJA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6B8" w:rsidRPr="00E226B8" w:rsidRDefault="00A233FC" w:rsidP="00E22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1.876.821,08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B8" w:rsidRPr="00E226B8" w:rsidRDefault="00A233FC" w:rsidP="00025CA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2.270.488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B8" w:rsidRPr="00E226B8" w:rsidRDefault="00A233FC" w:rsidP="002278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2.243.265,59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6B8" w:rsidRPr="00E226B8" w:rsidRDefault="00A233FC" w:rsidP="00E226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119,52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6B8" w:rsidRPr="00E226B8" w:rsidRDefault="00A233FC" w:rsidP="00E226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94,63</w:t>
            </w:r>
          </w:p>
        </w:tc>
      </w:tr>
      <w:tr w:rsidR="00E226B8" w:rsidRPr="00E226B8" w:rsidTr="008262DE">
        <w:trPr>
          <w:trHeight w:val="252"/>
          <w:jc w:val="center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26B8" w:rsidRPr="00E226B8" w:rsidRDefault="00E226B8" w:rsidP="00E22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26B8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6B8" w:rsidRPr="00E226B8" w:rsidRDefault="00A233FC" w:rsidP="00E22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13.862,19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B8" w:rsidRPr="00E226B8" w:rsidRDefault="00A233FC" w:rsidP="00E226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138.004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B8" w:rsidRPr="00E226B8" w:rsidRDefault="00A233FC" w:rsidP="00E226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122.939,59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6B8" w:rsidRPr="00E226B8" w:rsidRDefault="00A233FC" w:rsidP="00E226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886,87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6B8" w:rsidRPr="00E226B8" w:rsidRDefault="00A233FC" w:rsidP="00E226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89,80</w:t>
            </w:r>
          </w:p>
        </w:tc>
      </w:tr>
      <w:tr w:rsidR="001B64E4" w:rsidRPr="00E226B8" w:rsidTr="00ED20B7">
        <w:trPr>
          <w:trHeight w:val="252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1" w:themeFillTint="99"/>
            <w:noWrap/>
            <w:vAlign w:val="center"/>
          </w:tcPr>
          <w:p w:rsidR="001B64E4" w:rsidRPr="00E226B8" w:rsidRDefault="00A771D1" w:rsidP="00E22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 </w:t>
            </w:r>
            <w:r w:rsidR="001B64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RAČUN FINANCIRANJA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noWrap/>
            <w:vAlign w:val="center"/>
          </w:tcPr>
          <w:p w:rsidR="001B64E4" w:rsidRPr="00E226B8" w:rsidRDefault="001B64E4" w:rsidP="00E226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noWrap/>
            <w:vAlign w:val="center"/>
          </w:tcPr>
          <w:p w:rsidR="001B64E4" w:rsidRPr="00E226B8" w:rsidRDefault="001B64E4" w:rsidP="00E226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:rsidR="001B64E4" w:rsidRPr="00E226B8" w:rsidRDefault="001B64E4" w:rsidP="00E226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:rsidR="001B64E4" w:rsidRDefault="001B64E4" w:rsidP="0022787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:rsidR="001B64E4" w:rsidRPr="00E226B8" w:rsidRDefault="001B64E4" w:rsidP="00E226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:rsidR="001B64E4" w:rsidRPr="00E226B8" w:rsidRDefault="001B64E4" w:rsidP="00E226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:rsidR="001B64E4" w:rsidRPr="00E226B8" w:rsidRDefault="001B64E4" w:rsidP="00E226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B64E4" w:rsidRPr="00E226B8" w:rsidTr="008262DE">
        <w:trPr>
          <w:trHeight w:val="252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64E4" w:rsidRPr="00E226B8" w:rsidRDefault="001B64E4" w:rsidP="00E22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 PRIMICI OD FINANCIJSKE IMOVINE I ZADUŽIVANJA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64E4" w:rsidRPr="00E226B8" w:rsidRDefault="001B64E4" w:rsidP="00E226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64E4" w:rsidRPr="00E226B8" w:rsidRDefault="001B64E4" w:rsidP="00E226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4E4" w:rsidRPr="00E226B8" w:rsidRDefault="00A771D1" w:rsidP="00E226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4E4" w:rsidRDefault="00A771D1" w:rsidP="0022787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44.342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4E4" w:rsidRPr="00E226B8" w:rsidRDefault="001B64E4" w:rsidP="00E226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44.341,08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4E4" w:rsidRPr="00E226B8" w:rsidRDefault="00A771D1" w:rsidP="00E226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4E4" w:rsidRPr="00E226B8" w:rsidRDefault="00A771D1" w:rsidP="00E226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A771D1" w:rsidRPr="00E226B8" w:rsidTr="008262DE">
        <w:trPr>
          <w:trHeight w:val="252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71D1" w:rsidRDefault="00A771D1" w:rsidP="00E22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 IZDACI ZA OTPLATU ZAJMOVA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71D1" w:rsidRPr="00E226B8" w:rsidRDefault="00A771D1" w:rsidP="00E226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71D1" w:rsidRPr="00E226B8" w:rsidRDefault="00A771D1" w:rsidP="00E226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1D1" w:rsidRPr="00E226B8" w:rsidRDefault="00A771D1" w:rsidP="00E226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1D1" w:rsidRDefault="00C97B9F" w:rsidP="0022787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3.170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1D1" w:rsidRDefault="00C97B9F" w:rsidP="00E226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3.167,00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1D1" w:rsidRPr="00E226B8" w:rsidRDefault="00C97B9F" w:rsidP="00E226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1D1" w:rsidRPr="00E226B8" w:rsidRDefault="00C97B9F" w:rsidP="00E226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99,91</w:t>
            </w:r>
          </w:p>
        </w:tc>
      </w:tr>
      <w:tr w:rsidR="001B64E4" w:rsidRPr="00E226B8" w:rsidTr="00ED20B7">
        <w:trPr>
          <w:trHeight w:val="252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1" w:themeFillTint="99"/>
            <w:noWrap/>
            <w:vAlign w:val="center"/>
          </w:tcPr>
          <w:p w:rsidR="001B64E4" w:rsidRPr="00ED20B7" w:rsidRDefault="00ED20B7" w:rsidP="00E22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0B7">
              <w:rPr>
                <w:rFonts w:ascii="Arial" w:hAnsi="Arial" w:cs="Arial"/>
                <w:b/>
                <w:bCs/>
                <w:sz w:val="20"/>
                <w:szCs w:val="20"/>
              </w:rPr>
              <w:t>C PRORAČUN UK</w:t>
            </w:r>
            <w:r w:rsidR="00B42609" w:rsidRPr="00ED20B7">
              <w:rPr>
                <w:rFonts w:ascii="Arial" w:hAnsi="Arial" w:cs="Arial"/>
                <w:b/>
                <w:bCs/>
                <w:sz w:val="20"/>
                <w:szCs w:val="20"/>
              </w:rPr>
              <w:t>UPNO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noWrap/>
            <w:vAlign w:val="center"/>
          </w:tcPr>
          <w:p w:rsidR="001B64E4" w:rsidRPr="00ED20B7" w:rsidRDefault="001B64E4" w:rsidP="00E226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noWrap/>
            <w:vAlign w:val="center"/>
          </w:tcPr>
          <w:p w:rsidR="001B64E4" w:rsidRPr="00ED20B7" w:rsidRDefault="001B64E4" w:rsidP="00E226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:rsidR="001B64E4" w:rsidRPr="00ED20B7" w:rsidRDefault="001B64E4" w:rsidP="00E226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:rsidR="001B64E4" w:rsidRPr="00ED20B7" w:rsidRDefault="001B64E4" w:rsidP="0022787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:rsidR="001B64E4" w:rsidRPr="00ED20B7" w:rsidRDefault="001B64E4" w:rsidP="00E226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:rsidR="001B64E4" w:rsidRPr="00ED20B7" w:rsidRDefault="001B64E4" w:rsidP="00E226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:rsidR="001B64E4" w:rsidRPr="00ED20B7" w:rsidRDefault="001B64E4" w:rsidP="00E226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26B8" w:rsidRPr="00E226B8" w:rsidTr="008262DE">
        <w:trPr>
          <w:trHeight w:val="252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E226B8" w:rsidRPr="00E226B8" w:rsidRDefault="00ED20B7" w:rsidP="00E22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PRIHODI I PRIMICI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E226B8" w:rsidRPr="00E226B8" w:rsidRDefault="00E226B8" w:rsidP="00E226B8">
            <w:pPr>
              <w:rPr>
                <w:rFonts w:ascii="Arial" w:hAnsi="Arial" w:cs="Arial"/>
                <w:sz w:val="20"/>
                <w:szCs w:val="20"/>
              </w:rPr>
            </w:pPr>
            <w:r w:rsidRPr="00E226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E226B8" w:rsidRPr="00E226B8" w:rsidRDefault="00E226B8" w:rsidP="00E226B8">
            <w:pPr>
              <w:rPr>
                <w:rFonts w:ascii="Arial" w:hAnsi="Arial" w:cs="Arial"/>
                <w:sz w:val="20"/>
                <w:szCs w:val="20"/>
              </w:rPr>
            </w:pPr>
            <w:r w:rsidRPr="00E226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E226B8" w:rsidRPr="00E226B8" w:rsidRDefault="00ED20B7" w:rsidP="00A6488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1.912.403,45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E226B8" w:rsidRPr="00E226B8" w:rsidRDefault="00ED20B7" w:rsidP="0022787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2.467.212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E226B8" w:rsidRPr="00E226B8" w:rsidRDefault="00ED20B7" w:rsidP="00E226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2.341.331,30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E226B8" w:rsidRPr="00E226B8" w:rsidRDefault="00ED20B7" w:rsidP="00E226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122,43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E226B8" w:rsidRPr="00E226B8" w:rsidRDefault="00ED20B7" w:rsidP="00E226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94,90</w:t>
            </w:r>
          </w:p>
        </w:tc>
      </w:tr>
      <w:tr w:rsidR="00E226B8" w:rsidRPr="00E226B8" w:rsidTr="008262DE">
        <w:trPr>
          <w:trHeight w:val="252"/>
          <w:jc w:val="center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E226B8" w:rsidRPr="00E226B8" w:rsidRDefault="00ED20B7" w:rsidP="00E22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I IZDACI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E226B8" w:rsidRPr="00E226B8" w:rsidRDefault="00ED20B7" w:rsidP="00E226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1.890.683,27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E226B8" w:rsidRPr="00E226B8" w:rsidRDefault="00ED20B7" w:rsidP="0022787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2.511.</w:t>
            </w:r>
            <w:r w:rsidR="00FA1812">
              <w:rPr>
                <w:rFonts w:ascii="Arial" w:hAnsi="Arial" w:cs="Arial"/>
                <w:b/>
                <w:bCs/>
                <w:sz w:val="20"/>
                <w:szCs w:val="20"/>
              </w:rPr>
              <w:t>662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E226B8" w:rsidRPr="00E226B8" w:rsidRDefault="00ED20B7" w:rsidP="00E226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2.369.372,40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E226B8" w:rsidRPr="00E226B8" w:rsidRDefault="00ED20B7" w:rsidP="00E226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125,32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E226B8" w:rsidRPr="00E226B8" w:rsidRDefault="00ED20B7" w:rsidP="00E226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94,33</w:t>
            </w:r>
          </w:p>
        </w:tc>
      </w:tr>
      <w:tr w:rsidR="00ED20B7" w:rsidRPr="00E226B8" w:rsidTr="008262DE">
        <w:trPr>
          <w:trHeight w:val="252"/>
          <w:jc w:val="center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</w:tcPr>
          <w:p w:rsidR="00ED20B7" w:rsidRDefault="00FA1812" w:rsidP="00E22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RAZLIKA VIŠAK/MANJAK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D20B7" w:rsidRDefault="00FA1812" w:rsidP="00E226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21.720,18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D20B7" w:rsidRDefault="00FA1812" w:rsidP="0022787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-44.450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D20B7" w:rsidRDefault="00FA1812" w:rsidP="00E226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-28.</w:t>
            </w:r>
            <w:r w:rsidR="002706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41,10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D20B7" w:rsidRDefault="00FA1812" w:rsidP="00E226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-129,10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D20B7" w:rsidRDefault="00FA1812" w:rsidP="00E226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63,08</w:t>
            </w:r>
            <w:r w:rsidRPr="00E226B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A1812" w:rsidRPr="00E226B8" w:rsidTr="008262DE">
        <w:trPr>
          <w:trHeight w:val="252"/>
          <w:jc w:val="center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</w:tcPr>
          <w:p w:rsidR="00FA1812" w:rsidRDefault="00270693" w:rsidP="00E22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PRENESENI VIŠAK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FA1812" w:rsidRDefault="00FA1812" w:rsidP="00E226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FA1812" w:rsidRDefault="00270693" w:rsidP="0022787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44.450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FA1812" w:rsidRDefault="00FA1812" w:rsidP="00E226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FA1812" w:rsidRDefault="00FA1812" w:rsidP="002706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FA1812" w:rsidRDefault="00FA1812" w:rsidP="00E226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26B8" w:rsidRPr="00E226B8" w:rsidTr="008262DE">
        <w:trPr>
          <w:trHeight w:val="252"/>
          <w:jc w:val="center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E226B8" w:rsidRPr="00E226B8" w:rsidRDefault="00FA1812" w:rsidP="00E22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VIŠAK/MANJAK PRIHODA</w:t>
            </w:r>
            <w:r w:rsidR="002706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2024.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E226B8" w:rsidRPr="00E226B8" w:rsidRDefault="00E226B8" w:rsidP="00E226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E226B8" w:rsidRPr="00E226B8" w:rsidRDefault="00E226B8" w:rsidP="00E226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E226B8" w:rsidRPr="00E226B8" w:rsidRDefault="00270693" w:rsidP="00E226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-28.041,10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E226B8" w:rsidRPr="00E226B8" w:rsidRDefault="00E226B8" w:rsidP="00FA181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E226B8" w:rsidRPr="00E226B8" w:rsidRDefault="00E226B8" w:rsidP="00E226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ED20B7" w:rsidRDefault="00ED20B7" w:rsidP="000B666F">
      <w:pPr>
        <w:jc w:val="both"/>
        <w:rPr>
          <w:rFonts w:ascii="Times New Roman" w:hAnsi="Times New Roman"/>
        </w:rPr>
      </w:pPr>
    </w:p>
    <w:p w:rsidR="00025B34" w:rsidRDefault="00025B34" w:rsidP="000B666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Ukupno ostvareni</w:t>
      </w:r>
      <w:r w:rsidR="00656228">
        <w:rPr>
          <w:rFonts w:ascii="Times New Roman" w:hAnsi="Times New Roman"/>
        </w:rPr>
        <w:t xml:space="preserve"> prih</w:t>
      </w:r>
      <w:r w:rsidR="009158CC">
        <w:rPr>
          <w:rFonts w:ascii="Times New Roman" w:hAnsi="Times New Roman"/>
        </w:rPr>
        <w:t>odi</w:t>
      </w:r>
      <w:r w:rsidR="000B666F" w:rsidRPr="000B666F">
        <w:rPr>
          <w:rFonts w:ascii="Times New Roman" w:hAnsi="Times New Roman"/>
        </w:rPr>
        <w:t xml:space="preserve"> </w:t>
      </w:r>
      <w:r w:rsidR="001A3F58">
        <w:rPr>
          <w:rFonts w:ascii="Times New Roman" w:hAnsi="Times New Roman"/>
        </w:rPr>
        <w:t xml:space="preserve">u </w:t>
      </w:r>
      <w:r>
        <w:rPr>
          <w:rFonts w:ascii="Times New Roman" w:hAnsi="Times New Roman"/>
        </w:rPr>
        <w:t>izvještajn</w:t>
      </w:r>
      <w:r w:rsidR="00027CB3">
        <w:rPr>
          <w:rFonts w:ascii="Times New Roman" w:hAnsi="Times New Roman"/>
        </w:rPr>
        <w:t>om razdoblju iznose 2.341.331,30</w:t>
      </w:r>
      <w:r w:rsidR="001A3F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eur što je </w:t>
      </w:r>
      <w:r w:rsidR="00027CB3">
        <w:rPr>
          <w:rFonts w:ascii="Times New Roman" w:hAnsi="Times New Roman"/>
        </w:rPr>
        <w:t>22,43 %</w:t>
      </w:r>
      <w:r w:rsidR="00D92F6C">
        <w:rPr>
          <w:rFonts w:ascii="Times New Roman" w:hAnsi="Times New Roman"/>
        </w:rPr>
        <w:t xml:space="preserve"> više u odnosu na prihode ostvarene u izvještajnom razdoblju prethodne godine</w:t>
      </w:r>
    </w:p>
    <w:p w:rsidR="006F6487" w:rsidRDefault="00D92F6C" w:rsidP="000B666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 odnosu na izvorni plan za 20</w:t>
      </w:r>
      <w:r w:rsidR="00027CB3">
        <w:rPr>
          <w:rFonts w:ascii="Times New Roman" w:hAnsi="Times New Roman"/>
        </w:rPr>
        <w:t>24. godinu, ostvareno je 94,90 %</w:t>
      </w:r>
      <w:r w:rsidR="00083727">
        <w:rPr>
          <w:rFonts w:ascii="Times New Roman" w:hAnsi="Times New Roman"/>
        </w:rPr>
        <w:t xml:space="preserve"> planiranih prihoda.</w:t>
      </w:r>
    </w:p>
    <w:p w:rsidR="00D92F6C" w:rsidRDefault="00D92F6C" w:rsidP="000B666F">
      <w:pPr>
        <w:jc w:val="both"/>
        <w:rPr>
          <w:rFonts w:ascii="Times New Roman" w:hAnsi="Times New Roman"/>
        </w:rPr>
      </w:pPr>
    </w:p>
    <w:p w:rsidR="00431111" w:rsidRDefault="00D92F6C" w:rsidP="000B666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Prihodi su najvećim dijelom ostvareni iz izvo</w:t>
      </w:r>
      <w:r w:rsidR="00027CB3">
        <w:rPr>
          <w:rFonts w:ascii="Times New Roman" w:hAnsi="Times New Roman"/>
        </w:rPr>
        <w:t>ra financiranja 5</w:t>
      </w:r>
      <w:r>
        <w:rPr>
          <w:rFonts w:ascii="Times New Roman" w:hAnsi="Times New Roman"/>
        </w:rPr>
        <w:t xml:space="preserve"> Pomoći u </w:t>
      </w:r>
      <w:r w:rsidR="007F629D">
        <w:rPr>
          <w:rFonts w:ascii="Times New Roman" w:hAnsi="Times New Roman"/>
        </w:rPr>
        <w:t xml:space="preserve">iznosu </w:t>
      </w:r>
      <w:r w:rsidR="00CC6FF2">
        <w:rPr>
          <w:rFonts w:ascii="Times New Roman" w:hAnsi="Times New Roman"/>
        </w:rPr>
        <w:t>1.915.384,05</w:t>
      </w:r>
      <w:r w:rsidR="009233DA">
        <w:rPr>
          <w:rFonts w:ascii="Times New Roman" w:hAnsi="Times New Roman"/>
        </w:rPr>
        <w:t xml:space="preserve"> </w:t>
      </w:r>
      <w:r w:rsidR="007F629D">
        <w:rPr>
          <w:rFonts w:ascii="Times New Roman" w:hAnsi="Times New Roman"/>
        </w:rPr>
        <w:t xml:space="preserve"> eur</w:t>
      </w:r>
      <w:r>
        <w:rPr>
          <w:rFonts w:ascii="Times New Roman" w:hAnsi="Times New Roman"/>
        </w:rPr>
        <w:t>, a</w:t>
      </w:r>
      <w:r w:rsidR="007F629D">
        <w:rPr>
          <w:rFonts w:ascii="Times New Roman" w:hAnsi="Times New Roman"/>
        </w:rPr>
        <w:t xml:space="preserve"> od</w:t>
      </w:r>
      <w:r w:rsidR="003D2856">
        <w:rPr>
          <w:rFonts w:ascii="Times New Roman" w:hAnsi="Times New Roman"/>
        </w:rPr>
        <w:t>n</w:t>
      </w:r>
      <w:r w:rsidR="007F629D">
        <w:rPr>
          <w:rFonts w:ascii="Times New Roman" w:hAnsi="Times New Roman"/>
        </w:rPr>
        <w:t>ose se</w:t>
      </w:r>
      <w:r>
        <w:rPr>
          <w:rFonts w:ascii="Times New Roman" w:hAnsi="Times New Roman"/>
        </w:rPr>
        <w:t xml:space="preserve"> na plaće i naknade plaća zaposlenicima</w:t>
      </w:r>
      <w:r w:rsidR="003D2856">
        <w:rPr>
          <w:rFonts w:ascii="Times New Roman" w:hAnsi="Times New Roman"/>
        </w:rPr>
        <w:t>, prihoda za financiranje dijela plaća pomoćnika u nastavi</w:t>
      </w:r>
      <w:r w:rsidR="00FF67D0">
        <w:rPr>
          <w:rFonts w:ascii="Times New Roman" w:hAnsi="Times New Roman"/>
        </w:rPr>
        <w:t xml:space="preserve">, te djelomično financiranja projekta </w:t>
      </w:r>
      <w:proofErr w:type="spellStart"/>
      <w:r w:rsidR="00FF67D0">
        <w:rPr>
          <w:rFonts w:ascii="Times New Roman" w:hAnsi="Times New Roman"/>
        </w:rPr>
        <w:t>šeme</w:t>
      </w:r>
      <w:proofErr w:type="spellEnd"/>
      <w:r w:rsidR="00FF67D0">
        <w:rPr>
          <w:rFonts w:ascii="Times New Roman" w:hAnsi="Times New Roman"/>
        </w:rPr>
        <w:t xml:space="preserve"> voća</w:t>
      </w:r>
      <w:r>
        <w:rPr>
          <w:rFonts w:ascii="Times New Roman" w:hAnsi="Times New Roman"/>
        </w:rPr>
        <w:t xml:space="preserve"> i u odnosu na planirano ostvaren</w:t>
      </w:r>
      <w:r w:rsidR="009233DA">
        <w:rPr>
          <w:rFonts w:ascii="Times New Roman" w:hAnsi="Times New Roman"/>
        </w:rPr>
        <w:t>i su</w:t>
      </w:r>
      <w:r>
        <w:rPr>
          <w:rFonts w:ascii="Times New Roman" w:hAnsi="Times New Roman"/>
        </w:rPr>
        <w:t xml:space="preserve"> </w:t>
      </w:r>
      <w:r w:rsidR="00CC6FF2">
        <w:rPr>
          <w:rFonts w:ascii="Times New Roman" w:hAnsi="Times New Roman"/>
        </w:rPr>
        <w:t>94,42% i 21,13</w:t>
      </w:r>
      <w:r w:rsidR="009233DA">
        <w:rPr>
          <w:rFonts w:ascii="Times New Roman" w:hAnsi="Times New Roman"/>
        </w:rPr>
        <w:t xml:space="preserve"> % više u odnosu na isto razdoblje 2023. Planirani prihodi za financiranje plaća blago su precijenjeni u odnosu na plan. </w:t>
      </w:r>
      <w:r w:rsidR="00027CB3">
        <w:rPr>
          <w:rFonts w:ascii="Times New Roman" w:hAnsi="Times New Roman"/>
        </w:rPr>
        <w:t>Iz izvora financiranja 3</w:t>
      </w:r>
      <w:r w:rsidR="007F629D">
        <w:rPr>
          <w:rFonts w:ascii="Times New Roman" w:hAnsi="Times New Roman"/>
        </w:rPr>
        <w:t>2</w:t>
      </w:r>
      <w:r w:rsidR="00FF67D0">
        <w:rPr>
          <w:rFonts w:ascii="Times New Roman" w:hAnsi="Times New Roman"/>
        </w:rPr>
        <w:t xml:space="preserve"> – vlastiti prihodi</w:t>
      </w:r>
      <w:r w:rsidR="007F629D">
        <w:rPr>
          <w:rFonts w:ascii="Times New Roman" w:hAnsi="Times New Roman"/>
        </w:rPr>
        <w:t xml:space="preserve"> os</w:t>
      </w:r>
      <w:r w:rsidR="00CC6FF2">
        <w:rPr>
          <w:rFonts w:ascii="Times New Roman" w:hAnsi="Times New Roman"/>
        </w:rPr>
        <w:t>tvareno je 17.215,00</w:t>
      </w:r>
      <w:r w:rsidR="00733243">
        <w:rPr>
          <w:rFonts w:ascii="Times New Roman" w:hAnsi="Times New Roman"/>
        </w:rPr>
        <w:t xml:space="preserve"> eur što je</w:t>
      </w:r>
      <w:r w:rsidR="00CC6FF2">
        <w:rPr>
          <w:rFonts w:ascii="Times New Roman" w:hAnsi="Times New Roman"/>
        </w:rPr>
        <w:t xml:space="preserve"> na razini 87,81</w:t>
      </w:r>
      <w:r w:rsidR="007F629D">
        <w:rPr>
          <w:rFonts w:ascii="Times New Roman" w:hAnsi="Times New Roman"/>
        </w:rPr>
        <w:t xml:space="preserve"> % prošlogodišnjih os</w:t>
      </w:r>
      <w:r w:rsidR="00CC6FF2">
        <w:rPr>
          <w:rFonts w:ascii="Times New Roman" w:hAnsi="Times New Roman"/>
        </w:rPr>
        <w:t>tvarenih prihoda, odnosno 97,94</w:t>
      </w:r>
      <w:r w:rsidR="00083727">
        <w:rPr>
          <w:rFonts w:ascii="Times New Roman" w:hAnsi="Times New Roman"/>
        </w:rPr>
        <w:t xml:space="preserve"> %</w:t>
      </w:r>
      <w:r w:rsidR="007F629D">
        <w:rPr>
          <w:rFonts w:ascii="Times New Roman" w:hAnsi="Times New Roman"/>
        </w:rPr>
        <w:t xml:space="preserve"> planiranih prihoda. Vlastiti prihodi ostvaruju se najvećim dijelom od pružanja us</w:t>
      </w:r>
      <w:r w:rsidR="003D2856">
        <w:rPr>
          <w:rFonts w:ascii="Times New Roman" w:hAnsi="Times New Roman"/>
        </w:rPr>
        <w:t>luga najma školske</w:t>
      </w:r>
      <w:r w:rsidR="007F629D">
        <w:rPr>
          <w:rFonts w:ascii="Times New Roman" w:hAnsi="Times New Roman"/>
        </w:rPr>
        <w:t xml:space="preserve"> dvorane</w:t>
      </w:r>
      <w:r w:rsidR="00027CB3">
        <w:rPr>
          <w:rFonts w:ascii="Times New Roman" w:hAnsi="Times New Roman"/>
        </w:rPr>
        <w:t xml:space="preserve"> i manjim</w:t>
      </w:r>
      <w:r w:rsidR="00FF67D0">
        <w:rPr>
          <w:rFonts w:ascii="Times New Roman" w:hAnsi="Times New Roman"/>
        </w:rPr>
        <w:t xml:space="preserve"> dijelom prijepisa svjedodžbi.</w:t>
      </w:r>
      <w:r w:rsidR="003D2856">
        <w:rPr>
          <w:rFonts w:ascii="Times New Roman" w:hAnsi="Times New Roman"/>
        </w:rPr>
        <w:t xml:space="preserve"> </w:t>
      </w:r>
      <w:r w:rsidR="00733243">
        <w:rPr>
          <w:rFonts w:ascii="Times New Roman" w:hAnsi="Times New Roman"/>
        </w:rPr>
        <w:t>Prihodi za posebne namjene</w:t>
      </w:r>
      <w:r w:rsidR="00CC6FF2">
        <w:rPr>
          <w:rFonts w:ascii="Times New Roman" w:hAnsi="Times New Roman"/>
        </w:rPr>
        <w:t xml:space="preserve"> ostvareni su u iznosu 80.683,82 eura, što je 95,53</w:t>
      </w:r>
      <w:r w:rsidR="00733243">
        <w:rPr>
          <w:rFonts w:ascii="Times New Roman" w:hAnsi="Times New Roman"/>
        </w:rPr>
        <w:t>% realizacije p</w:t>
      </w:r>
      <w:r w:rsidR="00CC6FF2">
        <w:rPr>
          <w:rFonts w:ascii="Times New Roman" w:hAnsi="Times New Roman"/>
        </w:rPr>
        <w:t>rošlogodišnjeg izvršenja i 96,62</w:t>
      </w:r>
      <w:r w:rsidR="00733243">
        <w:rPr>
          <w:rFonts w:ascii="Times New Roman" w:hAnsi="Times New Roman"/>
        </w:rPr>
        <w:t xml:space="preserve"> % realizacije tekućeg plana. Ova vrsta prihoda ostvaruje se od uplate roditelja, skrbnika i sl. za </w:t>
      </w:r>
      <w:r w:rsidR="00CC6FF2">
        <w:rPr>
          <w:rFonts w:ascii="Times New Roman" w:hAnsi="Times New Roman"/>
        </w:rPr>
        <w:t>smještaj učenika u Učenički dom,</w:t>
      </w:r>
      <w:r w:rsidR="00A30396">
        <w:rPr>
          <w:rFonts w:ascii="Times New Roman" w:hAnsi="Times New Roman"/>
        </w:rPr>
        <w:t xml:space="preserve"> ostalo je nešto ne</w:t>
      </w:r>
      <w:r w:rsidR="00733243">
        <w:rPr>
          <w:rFonts w:ascii="Times New Roman" w:hAnsi="Times New Roman"/>
        </w:rPr>
        <w:t>naplaćenih</w:t>
      </w:r>
      <w:r w:rsidR="00CC6FF2">
        <w:rPr>
          <w:rFonts w:ascii="Times New Roman" w:hAnsi="Times New Roman"/>
        </w:rPr>
        <w:t xml:space="preserve"> (najvećim dijelom nedospjelih )</w:t>
      </w:r>
      <w:r w:rsidR="00733243">
        <w:rPr>
          <w:rFonts w:ascii="Times New Roman" w:hAnsi="Times New Roman"/>
        </w:rPr>
        <w:t xml:space="preserve"> potraživanja do trenutka </w:t>
      </w:r>
      <w:r w:rsidR="00CC6FF2">
        <w:rPr>
          <w:rFonts w:ascii="Times New Roman" w:hAnsi="Times New Roman"/>
        </w:rPr>
        <w:t>sastavljanja izvještaja. Izvor 6</w:t>
      </w:r>
      <w:r w:rsidR="00733243">
        <w:rPr>
          <w:rFonts w:ascii="Times New Roman" w:hAnsi="Times New Roman"/>
        </w:rPr>
        <w:t xml:space="preserve"> – donacije realiziran je u</w:t>
      </w:r>
      <w:r w:rsidR="00CC6FF2">
        <w:rPr>
          <w:rFonts w:ascii="Times New Roman" w:hAnsi="Times New Roman"/>
        </w:rPr>
        <w:t xml:space="preserve"> planiranom iznosu</w:t>
      </w:r>
      <w:r w:rsidR="00733243">
        <w:rPr>
          <w:rFonts w:ascii="Times New Roman" w:hAnsi="Times New Roman"/>
        </w:rPr>
        <w:t xml:space="preserve"> </w:t>
      </w:r>
      <w:proofErr w:type="spellStart"/>
      <w:r w:rsidR="00733243">
        <w:rPr>
          <w:rFonts w:ascii="Times New Roman" w:hAnsi="Times New Roman"/>
        </w:rPr>
        <w:t>iznosu</w:t>
      </w:r>
      <w:proofErr w:type="spellEnd"/>
      <w:r w:rsidR="00733243">
        <w:rPr>
          <w:rFonts w:ascii="Times New Roman" w:hAnsi="Times New Roman"/>
        </w:rPr>
        <w:t xml:space="preserve"> većem od planiranog, a glavni razlog je prijenos vlasništva </w:t>
      </w:r>
      <w:proofErr w:type="spellStart"/>
      <w:r w:rsidR="00733243">
        <w:rPr>
          <w:rFonts w:ascii="Times New Roman" w:hAnsi="Times New Roman"/>
        </w:rPr>
        <w:t>Carnet</w:t>
      </w:r>
      <w:proofErr w:type="spellEnd"/>
      <w:r w:rsidR="00733243">
        <w:rPr>
          <w:rFonts w:ascii="Times New Roman" w:hAnsi="Times New Roman"/>
        </w:rPr>
        <w:t xml:space="preserve"> računalne opreme u vlasništvo škole. Prihod iz izvora financiranja 11Opći prihodi i primici odnose se na decentralizirana sredstva nadležnog proračuna  redovne djelatnosti  Škole i Učeničkog doma</w:t>
      </w:r>
      <w:r w:rsidR="005B3C46">
        <w:rPr>
          <w:rFonts w:ascii="Times New Roman" w:hAnsi="Times New Roman"/>
        </w:rPr>
        <w:t>. Razlog realizacije veće za 9.86%</w:t>
      </w:r>
      <w:r w:rsidR="00733243">
        <w:rPr>
          <w:rFonts w:ascii="Times New Roman" w:hAnsi="Times New Roman"/>
        </w:rPr>
        <w:t xml:space="preserve"> od prošle godine su dodijeljena sredstva za kupnju kombi vozila, </w:t>
      </w:r>
      <w:r w:rsidR="005B3C46">
        <w:rPr>
          <w:rFonts w:ascii="Times New Roman" w:hAnsi="Times New Roman"/>
        </w:rPr>
        <w:t>dok</w:t>
      </w:r>
      <w:r w:rsidR="00733243">
        <w:rPr>
          <w:rFonts w:ascii="Times New Roman" w:hAnsi="Times New Roman"/>
        </w:rPr>
        <w:t xml:space="preserve"> i realizacija u o</w:t>
      </w:r>
      <w:r w:rsidR="005B3C46">
        <w:rPr>
          <w:rFonts w:ascii="Times New Roman" w:hAnsi="Times New Roman"/>
        </w:rPr>
        <w:t xml:space="preserve">dnosu na tekući plan na 96,28%. Dio prihoda planiranih u 2024.g. isplaćeni su početkom 2025. godine. </w:t>
      </w:r>
    </w:p>
    <w:p w:rsidR="00600D70" w:rsidRDefault="00600D70" w:rsidP="000B666F">
      <w:pPr>
        <w:jc w:val="both"/>
        <w:rPr>
          <w:rFonts w:ascii="Times New Roman" w:hAnsi="Times New Roman"/>
        </w:rPr>
      </w:pPr>
    </w:p>
    <w:p w:rsidR="00600D70" w:rsidRDefault="00600D70" w:rsidP="00600D7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Ukupno ostvareni rashodi</w:t>
      </w:r>
      <w:r w:rsidRPr="000B666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u izvještajnom razdoblju iznose </w:t>
      </w:r>
      <w:r w:rsidR="005B3C46">
        <w:rPr>
          <w:rFonts w:ascii="Times New Roman" w:hAnsi="Times New Roman"/>
        </w:rPr>
        <w:t xml:space="preserve">2.369.372,40 eur što je 25,32 </w:t>
      </w:r>
      <w:r>
        <w:rPr>
          <w:rFonts w:ascii="Times New Roman" w:hAnsi="Times New Roman"/>
        </w:rPr>
        <w:t>% više u odnosu na rashode ostvarene u izvještajnom razdoblju prethodne godine</w:t>
      </w:r>
      <w:r w:rsidR="005B3C46">
        <w:rPr>
          <w:rFonts w:ascii="Times New Roman" w:hAnsi="Times New Roman"/>
        </w:rPr>
        <w:t xml:space="preserve"> i 94,33 % planiranih rashoda u 2024. Razlog su opet blago precijenjeni rashodi za plaće djelatnika. </w:t>
      </w:r>
    </w:p>
    <w:p w:rsidR="00600D70" w:rsidRDefault="008A22A6" w:rsidP="00600D7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Uzrok povećanja rashoda u odnosu na prošlu godinu proizlazi iz povećanja s</w:t>
      </w:r>
      <w:r w:rsidR="002F5CD1">
        <w:rPr>
          <w:rFonts w:ascii="Times New Roman" w:hAnsi="Times New Roman"/>
        </w:rPr>
        <w:t xml:space="preserve">redstava za plaće zaposlenika, </w:t>
      </w:r>
      <w:r>
        <w:rPr>
          <w:rFonts w:ascii="Times New Roman" w:hAnsi="Times New Roman"/>
        </w:rPr>
        <w:t xml:space="preserve">ulaganja </w:t>
      </w:r>
      <w:r w:rsidR="002F5CD1">
        <w:rPr>
          <w:rFonts w:ascii="Times New Roman" w:hAnsi="Times New Roman"/>
        </w:rPr>
        <w:t xml:space="preserve">u nabavu nefinancijske imovine i općenitim rastom  troškova uzrokovanih viskom stopom inflacije. </w:t>
      </w:r>
    </w:p>
    <w:p w:rsidR="008A22A6" w:rsidRDefault="008A22A6" w:rsidP="00600D70">
      <w:pPr>
        <w:jc w:val="both"/>
        <w:rPr>
          <w:rFonts w:ascii="Times New Roman" w:hAnsi="Times New Roman"/>
        </w:rPr>
      </w:pPr>
    </w:p>
    <w:p w:rsidR="008A22A6" w:rsidRDefault="008A22A6" w:rsidP="00600D7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Škola se zadužila na d</w:t>
      </w:r>
      <w:r w:rsidR="005B3C46">
        <w:rPr>
          <w:rFonts w:ascii="Times New Roman" w:hAnsi="Times New Roman"/>
        </w:rPr>
        <w:t>omaćem tržištu kapitala (izvor 811) u iznosu 44.431,08</w:t>
      </w:r>
      <w:r>
        <w:rPr>
          <w:rFonts w:ascii="Times New Roman" w:hAnsi="Times New Roman"/>
        </w:rPr>
        <w:t xml:space="preserve"> eur</w:t>
      </w:r>
      <w:r w:rsidR="005B3C46">
        <w:rPr>
          <w:rFonts w:ascii="Times New Roman" w:hAnsi="Times New Roman"/>
        </w:rPr>
        <w:t xml:space="preserve">, što je u skladu sa planom. </w:t>
      </w:r>
    </w:p>
    <w:p w:rsidR="00431111" w:rsidRDefault="00431111" w:rsidP="009158CC">
      <w:pPr>
        <w:rPr>
          <w:rFonts w:ascii="Times New Roman" w:hAnsi="Times New Roman"/>
        </w:rPr>
      </w:pPr>
    </w:p>
    <w:p w:rsidR="00431111" w:rsidRDefault="00431111" w:rsidP="008E3543">
      <w:pPr>
        <w:jc w:val="center"/>
        <w:rPr>
          <w:rFonts w:ascii="Times New Roman" w:hAnsi="Times New Roman"/>
        </w:rPr>
      </w:pPr>
    </w:p>
    <w:p w:rsidR="00A76A29" w:rsidRDefault="00A76A29" w:rsidP="008E3543">
      <w:pPr>
        <w:jc w:val="center"/>
        <w:rPr>
          <w:rFonts w:ascii="Times New Roman" w:hAnsi="Times New Roman"/>
        </w:rPr>
      </w:pPr>
    </w:p>
    <w:p w:rsidR="00A76A29" w:rsidRDefault="00A76A29" w:rsidP="008E3543">
      <w:pPr>
        <w:jc w:val="center"/>
        <w:rPr>
          <w:rFonts w:ascii="Times New Roman" w:hAnsi="Times New Roman"/>
        </w:rPr>
      </w:pPr>
    </w:p>
    <w:p w:rsidR="00A76A29" w:rsidRDefault="00A76A29" w:rsidP="008E3543">
      <w:pPr>
        <w:jc w:val="center"/>
        <w:rPr>
          <w:rFonts w:ascii="Times New Roman" w:hAnsi="Times New Roman"/>
        </w:rPr>
      </w:pPr>
    </w:p>
    <w:p w:rsidR="00A76A29" w:rsidRDefault="00A76A29" w:rsidP="008E3543">
      <w:pPr>
        <w:jc w:val="center"/>
        <w:rPr>
          <w:rFonts w:ascii="Times New Roman" w:hAnsi="Times New Roman"/>
        </w:rPr>
      </w:pPr>
    </w:p>
    <w:p w:rsidR="00A76A29" w:rsidRDefault="00A76A29" w:rsidP="008E3543">
      <w:pPr>
        <w:jc w:val="center"/>
        <w:rPr>
          <w:rFonts w:ascii="Times New Roman" w:hAnsi="Times New Roman"/>
        </w:rPr>
      </w:pPr>
    </w:p>
    <w:p w:rsidR="00A76A29" w:rsidRDefault="00A76A29" w:rsidP="008E3543">
      <w:pPr>
        <w:jc w:val="center"/>
        <w:rPr>
          <w:rFonts w:ascii="Times New Roman" w:hAnsi="Times New Roman"/>
        </w:rPr>
      </w:pPr>
    </w:p>
    <w:p w:rsidR="008E3543" w:rsidRPr="00350B52" w:rsidRDefault="008E3543" w:rsidP="008E3543">
      <w:pPr>
        <w:jc w:val="center"/>
        <w:rPr>
          <w:rFonts w:ascii="Times New Roman" w:hAnsi="Times New Roman"/>
          <w:b/>
        </w:rPr>
      </w:pPr>
      <w:r w:rsidRPr="00350B52">
        <w:rPr>
          <w:rFonts w:ascii="Times New Roman" w:hAnsi="Times New Roman"/>
          <w:b/>
        </w:rPr>
        <w:lastRenderedPageBreak/>
        <w:t>II POSEBNI DIO PRORAČUNA</w:t>
      </w:r>
    </w:p>
    <w:p w:rsidR="003C19B4" w:rsidRDefault="003C19B4" w:rsidP="000B666F">
      <w:pPr>
        <w:jc w:val="both"/>
        <w:rPr>
          <w:rFonts w:ascii="Times New Roman" w:hAnsi="Times New Roman"/>
        </w:rPr>
      </w:pPr>
    </w:p>
    <w:p w:rsidR="003C19B4" w:rsidRDefault="003C19B4" w:rsidP="003C19B4">
      <w:pPr>
        <w:jc w:val="center"/>
        <w:rPr>
          <w:rFonts w:ascii="Times New Roman" w:hAnsi="Times New Roman"/>
        </w:rPr>
      </w:pPr>
    </w:p>
    <w:p w:rsidR="00C87CBF" w:rsidRDefault="00C87CBF" w:rsidP="00C87CBF">
      <w:pPr>
        <w:rPr>
          <w:rFonts w:ascii="Times New Roman" w:hAnsi="Times New Roman"/>
        </w:rPr>
      </w:pPr>
      <w:r w:rsidRPr="00350B52">
        <w:rPr>
          <w:rFonts w:ascii="Times New Roman" w:hAnsi="Times New Roman"/>
          <w:b/>
        </w:rPr>
        <w:t>Prema funkcijskoj klasifikaciji</w:t>
      </w:r>
      <w:r>
        <w:rPr>
          <w:rFonts w:ascii="Times New Roman" w:hAnsi="Times New Roman"/>
        </w:rPr>
        <w:t xml:space="preserve"> škola ostvaruje samo jednu</w:t>
      </w:r>
      <w:r w:rsidR="00AC7FF3">
        <w:rPr>
          <w:rFonts w:ascii="Times New Roman" w:hAnsi="Times New Roman"/>
        </w:rPr>
        <w:t xml:space="preserve"> funkciju </w:t>
      </w:r>
      <w:r w:rsidR="00AC7FF3" w:rsidRPr="00AC7FF3">
        <w:rPr>
          <w:rFonts w:ascii="Times New Roman" w:hAnsi="Times New Roman"/>
          <w:b/>
        </w:rPr>
        <w:t>O</w:t>
      </w:r>
      <w:r w:rsidRPr="00AC7FF3">
        <w:rPr>
          <w:rFonts w:ascii="Times New Roman" w:hAnsi="Times New Roman"/>
          <w:b/>
        </w:rPr>
        <w:t>brazovanje</w:t>
      </w:r>
      <w:r>
        <w:rPr>
          <w:rFonts w:ascii="Times New Roman" w:hAnsi="Times New Roman"/>
        </w:rPr>
        <w:t xml:space="preserve"> podijeljenu</w:t>
      </w:r>
      <w:r w:rsidR="00EF47E1">
        <w:rPr>
          <w:rFonts w:ascii="Times New Roman" w:hAnsi="Times New Roman"/>
        </w:rPr>
        <w:t xml:space="preserve"> na dvije podskupine 092 S</w:t>
      </w:r>
      <w:r>
        <w:rPr>
          <w:rFonts w:ascii="Times New Roman" w:hAnsi="Times New Roman"/>
        </w:rPr>
        <w:t>rednjoškolsko obrazovanje</w:t>
      </w:r>
      <w:r w:rsidR="00EF47E1">
        <w:rPr>
          <w:rFonts w:ascii="Times New Roman" w:hAnsi="Times New Roman"/>
        </w:rPr>
        <w:t xml:space="preserve"> i 096 D</w:t>
      </w:r>
      <w:r>
        <w:rPr>
          <w:rFonts w:ascii="Times New Roman" w:hAnsi="Times New Roman"/>
        </w:rPr>
        <w:t xml:space="preserve">odatne usluge u obrazovanju. U odnosu na </w:t>
      </w:r>
      <w:r w:rsidR="00C50413">
        <w:rPr>
          <w:rFonts w:ascii="Times New Roman" w:hAnsi="Times New Roman"/>
        </w:rPr>
        <w:t>izvršenje</w:t>
      </w:r>
      <w:r w:rsidR="00083727">
        <w:rPr>
          <w:rFonts w:ascii="Times New Roman" w:hAnsi="Times New Roman"/>
        </w:rPr>
        <w:t xml:space="preserve"> 2023</w:t>
      </w:r>
      <w:r w:rsidR="00C50413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godine bilježi se poveć</w:t>
      </w:r>
      <w:r w:rsidR="00C44051">
        <w:rPr>
          <w:rFonts w:ascii="Times New Roman" w:hAnsi="Times New Roman"/>
        </w:rPr>
        <w:t>anje i prihoda i rashoda.</w:t>
      </w:r>
    </w:p>
    <w:p w:rsidR="00C44051" w:rsidRDefault="00C44051" w:rsidP="00C87CBF">
      <w:pPr>
        <w:rPr>
          <w:rFonts w:ascii="Times New Roman" w:hAnsi="Times New Roman"/>
        </w:rPr>
      </w:pPr>
    </w:p>
    <w:p w:rsidR="00C44051" w:rsidRDefault="00C44051" w:rsidP="00C87CBF">
      <w:pPr>
        <w:rPr>
          <w:rFonts w:ascii="Times New Roman" w:hAnsi="Times New Roman"/>
        </w:rPr>
      </w:pPr>
    </w:p>
    <w:p w:rsidR="00E33144" w:rsidRDefault="00E82A97" w:rsidP="00E82A97">
      <w:pPr>
        <w:rPr>
          <w:rFonts w:ascii="Times New Roman" w:hAnsi="Times New Roman"/>
          <w:b/>
        </w:rPr>
      </w:pPr>
      <w:r w:rsidRPr="00350B52">
        <w:rPr>
          <w:rFonts w:ascii="Times New Roman" w:hAnsi="Times New Roman"/>
          <w:b/>
        </w:rPr>
        <w:t xml:space="preserve">Ostvareni prihodi </w:t>
      </w:r>
      <w:r w:rsidR="00350B52" w:rsidRPr="00350B52">
        <w:rPr>
          <w:rFonts w:ascii="Times New Roman" w:hAnsi="Times New Roman"/>
          <w:b/>
        </w:rPr>
        <w:t xml:space="preserve"> po programskoj klasifikaciji</w:t>
      </w:r>
      <w:r w:rsidR="00C33D44">
        <w:rPr>
          <w:rFonts w:ascii="Times New Roman" w:hAnsi="Times New Roman"/>
          <w:b/>
        </w:rPr>
        <w:t xml:space="preserve">: </w:t>
      </w:r>
    </w:p>
    <w:p w:rsidR="00350B52" w:rsidRDefault="00350B52" w:rsidP="00E82A97">
      <w:pPr>
        <w:rPr>
          <w:rFonts w:ascii="Times New Roman" w:hAnsi="Times New Roman"/>
          <w:b/>
        </w:rPr>
      </w:pPr>
    </w:p>
    <w:p w:rsidR="00350B52" w:rsidRDefault="00350B52" w:rsidP="00E82A97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Program  P1 R</w:t>
      </w:r>
      <w:r w:rsidR="00C33D44">
        <w:rPr>
          <w:rFonts w:ascii="Times New Roman" w:hAnsi="Times New Roman"/>
          <w:b/>
        </w:rPr>
        <w:t xml:space="preserve">edovne djelatnosti </w:t>
      </w:r>
      <w:r w:rsidR="00C33D44">
        <w:rPr>
          <w:rFonts w:ascii="Times New Roman" w:hAnsi="Times New Roman"/>
        </w:rPr>
        <w:t>sadrži jednu aktivnost Redovna djelatnost SŠ- vlastita sredstva korisnika. Financira se iz četiri izvora: vlastiti prihodi, prihodi za posebne namjene, pomoći i donacije.</w:t>
      </w:r>
    </w:p>
    <w:p w:rsidR="00595B91" w:rsidRDefault="00595B91" w:rsidP="00E82A97">
      <w:pPr>
        <w:rPr>
          <w:rFonts w:ascii="Times New Roman" w:hAnsi="Times New Roman"/>
          <w:b/>
        </w:rPr>
      </w:pPr>
    </w:p>
    <w:p w:rsidR="00C33D44" w:rsidRPr="00776BD0" w:rsidRDefault="00776BD0" w:rsidP="00E82A97">
      <w:pPr>
        <w:rPr>
          <w:rFonts w:ascii="Times New Roman" w:hAnsi="Times New Roman"/>
        </w:rPr>
      </w:pPr>
      <w:r w:rsidRPr="00776BD0">
        <w:rPr>
          <w:rFonts w:ascii="Times New Roman" w:hAnsi="Times New Roman"/>
          <w:b/>
        </w:rPr>
        <w:t>Vlastiti rashodi</w:t>
      </w:r>
      <w:r w:rsidR="009C6DF9">
        <w:rPr>
          <w:rFonts w:ascii="Times New Roman" w:hAnsi="Times New Roman"/>
        </w:rPr>
        <w:t xml:space="preserve"> izvršeni su 69,81</w:t>
      </w:r>
      <w:r w:rsidR="00C33D44" w:rsidRPr="00776BD0">
        <w:rPr>
          <w:rFonts w:ascii="Times New Roman" w:hAnsi="Times New Roman"/>
        </w:rPr>
        <w:t>%</w:t>
      </w:r>
      <w:r w:rsidR="006B0A84">
        <w:rPr>
          <w:rFonts w:ascii="Times New Roman" w:hAnsi="Times New Roman"/>
        </w:rPr>
        <w:t xml:space="preserve"> </w:t>
      </w:r>
      <w:r w:rsidRPr="00776BD0">
        <w:rPr>
          <w:rFonts w:ascii="Times New Roman" w:hAnsi="Times New Roman"/>
        </w:rPr>
        <w:t xml:space="preserve"> planiranog</w:t>
      </w:r>
      <w:r w:rsidR="00C33D44" w:rsidRPr="00776BD0">
        <w:rPr>
          <w:rFonts w:ascii="Times New Roman" w:hAnsi="Times New Roman"/>
        </w:rPr>
        <w:t xml:space="preserve">. </w:t>
      </w:r>
      <w:r w:rsidR="00EA0BE6" w:rsidRPr="00776BD0">
        <w:rPr>
          <w:rFonts w:ascii="Times New Roman" w:hAnsi="Times New Roman"/>
        </w:rPr>
        <w:t xml:space="preserve">Ova vrsta  prihoda najvećim dijelom ostvaruje se najmom školske dvorane. </w:t>
      </w:r>
      <w:r w:rsidR="00C33D44" w:rsidRPr="00776BD0">
        <w:rPr>
          <w:rFonts w:ascii="Times New Roman" w:hAnsi="Times New Roman"/>
        </w:rPr>
        <w:t>Materi</w:t>
      </w:r>
      <w:r w:rsidRPr="00776BD0">
        <w:rPr>
          <w:rFonts w:ascii="Times New Roman" w:hAnsi="Times New Roman"/>
        </w:rPr>
        <w:t>jalni rashodi su n</w:t>
      </w:r>
      <w:r w:rsidR="009C6DF9">
        <w:rPr>
          <w:rFonts w:ascii="Times New Roman" w:hAnsi="Times New Roman"/>
        </w:rPr>
        <w:t>a razini 86,48, Ostali rashodi 88</w:t>
      </w:r>
      <w:r w:rsidR="006B0A84">
        <w:rPr>
          <w:rFonts w:ascii="Times New Roman" w:hAnsi="Times New Roman"/>
        </w:rPr>
        <w:t xml:space="preserve"> </w:t>
      </w:r>
      <w:r w:rsidR="00C33D44" w:rsidRPr="00776BD0">
        <w:rPr>
          <w:rFonts w:ascii="Times New Roman" w:hAnsi="Times New Roman"/>
        </w:rPr>
        <w:t xml:space="preserve">%, Rashodi za nabavu </w:t>
      </w:r>
      <w:proofErr w:type="spellStart"/>
      <w:r w:rsidR="00C33D44" w:rsidRPr="00776BD0">
        <w:rPr>
          <w:rFonts w:ascii="Times New Roman" w:hAnsi="Times New Roman"/>
        </w:rPr>
        <w:t>neproi</w:t>
      </w:r>
      <w:r w:rsidRPr="00776BD0">
        <w:rPr>
          <w:rFonts w:ascii="Times New Roman" w:hAnsi="Times New Roman"/>
        </w:rPr>
        <w:t>z</w:t>
      </w:r>
      <w:r w:rsidR="009C6DF9">
        <w:rPr>
          <w:rFonts w:ascii="Times New Roman" w:hAnsi="Times New Roman"/>
        </w:rPr>
        <w:t>vedene</w:t>
      </w:r>
      <w:proofErr w:type="spellEnd"/>
      <w:r w:rsidR="009C6DF9">
        <w:rPr>
          <w:rFonts w:ascii="Times New Roman" w:hAnsi="Times New Roman"/>
        </w:rPr>
        <w:t xml:space="preserve"> dugotrajne imovine 61,57</w:t>
      </w:r>
      <w:r w:rsidR="00C33D44" w:rsidRPr="00776BD0">
        <w:rPr>
          <w:rFonts w:ascii="Times New Roman" w:hAnsi="Times New Roman"/>
        </w:rPr>
        <w:t xml:space="preserve">%. </w:t>
      </w:r>
    </w:p>
    <w:p w:rsidR="00776BD0" w:rsidRPr="00776BD0" w:rsidRDefault="009C6DF9" w:rsidP="00E82A97">
      <w:pPr>
        <w:rPr>
          <w:rFonts w:ascii="Times New Roman" w:hAnsi="Times New Roman"/>
        </w:rPr>
      </w:pPr>
      <w:r>
        <w:rPr>
          <w:rFonts w:ascii="Times New Roman" w:hAnsi="Times New Roman"/>
        </w:rPr>
        <w:t>Rashodi su manji</w:t>
      </w:r>
      <w:r w:rsidR="00776BD0" w:rsidRPr="00776BD0">
        <w:rPr>
          <w:rFonts w:ascii="Times New Roman" w:hAnsi="Times New Roman"/>
        </w:rPr>
        <w:t xml:space="preserve"> od izvorno planiranih zbog utrošk</w:t>
      </w:r>
      <w:r>
        <w:rPr>
          <w:rFonts w:ascii="Times New Roman" w:hAnsi="Times New Roman"/>
        </w:rPr>
        <w:t>a viška iz prethodnih godina i ostvarenog novog viška</w:t>
      </w:r>
      <w:r w:rsidR="00776BD0" w:rsidRPr="00776BD0">
        <w:rPr>
          <w:rFonts w:ascii="Times New Roman" w:hAnsi="Times New Roman"/>
        </w:rPr>
        <w:t>.</w:t>
      </w:r>
    </w:p>
    <w:p w:rsidR="00776BD0" w:rsidRPr="003A559D" w:rsidRDefault="00776BD0" w:rsidP="00E82A97">
      <w:pPr>
        <w:rPr>
          <w:rFonts w:ascii="Times New Roman" w:hAnsi="Times New Roman"/>
          <w:color w:val="FF0000"/>
        </w:rPr>
      </w:pPr>
    </w:p>
    <w:p w:rsidR="00C33D44" w:rsidRPr="00193EAD" w:rsidRDefault="00C33D44" w:rsidP="00E82A97">
      <w:pPr>
        <w:rPr>
          <w:rFonts w:ascii="Times New Roman" w:hAnsi="Times New Roman"/>
        </w:rPr>
      </w:pPr>
      <w:r w:rsidRPr="00193EAD">
        <w:rPr>
          <w:rFonts w:ascii="Times New Roman" w:hAnsi="Times New Roman"/>
          <w:b/>
        </w:rPr>
        <w:t>Priho</w:t>
      </w:r>
      <w:r w:rsidR="00EA0BE6" w:rsidRPr="00193EAD">
        <w:rPr>
          <w:rFonts w:ascii="Times New Roman" w:hAnsi="Times New Roman"/>
          <w:b/>
        </w:rPr>
        <w:t>di za posebne namjene – korisnici</w:t>
      </w:r>
      <w:r w:rsidR="00EA0BE6" w:rsidRPr="00193EAD">
        <w:rPr>
          <w:rFonts w:ascii="Times New Roman" w:hAnsi="Times New Roman"/>
        </w:rPr>
        <w:t xml:space="preserve"> ostvaruju se uplatama roditelj i skrbnika za smještaj učenika u Učeničkom domu. </w:t>
      </w:r>
    </w:p>
    <w:p w:rsidR="00193EAD" w:rsidRDefault="00EA0BE6" w:rsidP="009C6DF9">
      <w:pPr>
        <w:rPr>
          <w:rFonts w:ascii="Times New Roman" w:hAnsi="Times New Roman"/>
        </w:rPr>
      </w:pPr>
      <w:r w:rsidRPr="00193EAD">
        <w:rPr>
          <w:rFonts w:ascii="Times New Roman" w:hAnsi="Times New Roman"/>
        </w:rPr>
        <w:t xml:space="preserve">U odnosu na planirano rashodi s </w:t>
      </w:r>
      <w:r w:rsidR="009C6DF9">
        <w:rPr>
          <w:rFonts w:ascii="Times New Roman" w:hAnsi="Times New Roman"/>
        </w:rPr>
        <w:t>ovog izvora realizirani su 78,75</w:t>
      </w:r>
      <w:r w:rsidRPr="00193EAD">
        <w:rPr>
          <w:rFonts w:ascii="Times New Roman" w:hAnsi="Times New Roman"/>
        </w:rPr>
        <w:t>%. Materi</w:t>
      </w:r>
      <w:r w:rsidR="009C6DF9">
        <w:rPr>
          <w:rFonts w:ascii="Times New Roman" w:hAnsi="Times New Roman"/>
        </w:rPr>
        <w:t>jalni rashodi su na razini 75,78</w:t>
      </w:r>
      <w:r w:rsidRPr="00193EAD">
        <w:rPr>
          <w:rFonts w:ascii="Times New Roman" w:hAnsi="Times New Roman"/>
        </w:rPr>
        <w:t>%, Financijski</w:t>
      </w:r>
      <w:r w:rsidR="00193EAD" w:rsidRPr="00193EAD">
        <w:rPr>
          <w:rFonts w:ascii="Times New Roman" w:hAnsi="Times New Roman"/>
        </w:rPr>
        <w:t>h rashoda nem</w:t>
      </w:r>
      <w:r w:rsidR="009C6DF9">
        <w:rPr>
          <w:rFonts w:ascii="Times New Roman" w:hAnsi="Times New Roman"/>
        </w:rPr>
        <w:t xml:space="preserve">a kao ni rashoda za zaposlene. </w:t>
      </w:r>
      <w:r w:rsidR="009C6DF9" w:rsidRPr="00776BD0">
        <w:rPr>
          <w:rFonts w:ascii="Times New Roman" w:hAnsi="Times New Roman"/>
        </w:rPr>
        <w:t xml:space="preserve">Rashodi za nabavu </w:t>
      </w:r>
      <w:proofErr w:type="spellStart"/>
      <w:r w:rsidR="009C6DF9" w:rsidRPr="00776BD0">
        <w:rPr>
          <w:rFonts w:ascii="Times New Roman" w:hAnsi="Times New Roman"/>
        </w:rPr>
        <w:t>neproiz</w:t>
      </w:r>
      <w:r w:rsidR="009C6DF9">
        <w:rPr>
          <w:rFonts w:ascii="Times New Roman" w:hAnsi="Times New Roman"/>
        </w:rPr>
        <w:t>vedene</w:t>
      </w:r>
      <w:proofErr w:type="spellEnd"/>
      <w:r w:rsidR="009C6DF9">
        <w:rPr>
          <w:rFonts w:ascii="Times New Roman" w:hAnsi="Times New Roman"/>
        </w:rPr>
        <w:t xml:space="preserve"> dugotrajne imovine 99,95</w:t>
      </w:r>
      <w:r w:rsidR="009C6DF9" w:rsidRPr="00776BD0">
        <w:rPr>
          <w:rFonts w:ascii="Times New Roman" w:hAnsi="Times New Roman"/>
        </w:rPr>
        <w:t>%.</w:t>
      </w:r>
    </w:p>
    <w:p w:rsidR="009C6DF9" w:rsidRPr="009C6DF9" w:rsidRDefault="009C6DF9" w:rsidP="009C6DF9">
      <w:pPr>
        <w:rPr>
          <w:rFonts w:ascii="Times New Roman" w:hAnsi="Times New Roman"/>
        </w:rPr>
      </w:pPr>
    </w:p>
    <w:p w:rsidR="009C6DF9" w:rsidRDefault="007D4295" w:rsidP="00655D01">
      <w:pPr>
        <w:rPr>
          <w:rFonts w:ascii="Times New Roman" w:hAnsi="Times New Roman"/>
        </w:rPr>
      </w:pPr>
      <w:r w:rsidRPr="005363F8">
        <w:rPr>
          <w:rFonts w:ascii="Times New Roman" w:hAnsi="Times New Roman"/>
          <w:b/>
        </w:rPr>
        <w:t>Pomoći</w:t>
      </w:r>
      <w:r w:rsidRPr="005363F8">
        <w:rPr>
          <w:rFonts w:ascii="Times New Roman" w:hAnsi="Times New Roman"/>
        </w:rPr>
        <w:t xml:space="preserve"> – izvor financiranja je proračun (najvećim dijelom MZO</w:t>
      </w:r>
      <w:r w:rsidR="00083727">
        <w:rPr>
          <w:rFonts w:ascii="Times New Roman" w:hAnsi="Times New Roman"/>
        </w:rPr>
        <w:t>M</w:t>
      </w:r>
      <w:r w:rsidRPr="005363F8">
        <w:rPr>
          <w:rFonts w:ascii="Times New Roman" w:hAnsi="Times New Roman"/>
        </w:rPr>
        <w:t xml:space="preserve">) koji nam nije nadležan. Planirani rashodi manji su od </w:t>
      </w:r>
      <w:r w:rsidR="00194A31" w:rsidRPr="005363F8">
        <w:rPr>
          <w:rFonts w:ascii="Times New Roman" w:hAnsi="Times New Roman"/>
        </w:rPr>
        <w:t>izvršenja</w:t>
      </w:r>
      <w:r w:rsidR="009C6DF9">
        <w:rPr>
          <w:rFonts w:ascii="Times New Roman" w:hAnsi="Times New Roman"/>
        </w:rPr>
        <w:t xml:space="preserve"> koje je na razini 94,56%</w:t>
      </w:r>
      <w:r w:rsidRPr="005363F8">
        <w:rPr>
          <w:rFonts w:ascii="Times New Roman" w:hAnsi="Times New Roman"/>
        </w:rPr>
        <w:t xml:space="preserve">. </w:t>
      </w:r>
    </w:p>
    <w:p w:rsidR="00194A31" w:rsidRPr="005363F8" w:rsidRDefault="00194A31" w:rsidP="00655D01">
      <w:pPr>
        <w:rPr>
          <w:rFonts w:ascii="Times New Roman" w:hAnsi="Times New Roman"/>
        </w:rPr>
      </w:pPr>
      <w:r w:rsidRPr="005363F8">
        <w:rPr>
          <w:rFonts w:ascii="Times New Roman" w:hAnsi="Times New Roman"/>
        </w:rPr>
        <w:t xml:space="preserve">Najvećim dijelom financiraju se rashodi za zaposlene koji su </w:t>
      </w:r>
      <w:r w:rsidR="009C6DF9">
        <w:rPr>
          <w:rFonts w:ascii="Times New Roman" w:hAnsi="Times New Roman"/>
        </w:rPr>
        <w:t>izvršeni u odnosu na plan 94,42</w:t>
      </w:r>
      <w:r w:rsidRPr="005363F8">
        <w:rPr>
          <w:rFonts w:ascii="Times New Roman" w:hAnsi="Times New Roman"/>
        </w:rPr>
        <w:t>%, materij</w:t>
      </w:r>
      <w:r w:rsidR="003B1EEB">
        <w:rPr>
          <w:rFonts w:ascii="Times New Roman" w:hAnsi="Times New Roman"/>
        </w:rPr>
        <w:t>alni rashodi ostvareni su 90,71% zbog planiranih rashoda za prijavljene projekte na kojima nismo prošli.</w:t>
      </w:r>
      <w:r w:rsidR="005363F8" w:rsidRPr="005363F8">
        <w:rPr>
          <w:rFonts w:ascii="Times New Roman" w:hAnsi="Times New Roman"/>
        </w:rPr>
        <w:t xml:space="preserve"> </w:t>
      </w:r>
      <w:r w:rsidR="003B1EEB">
        <w:rPr>
          <w:rFonts w:ascii="Times New Roman" w:hAnsi="Times New Roman"/>
        </w:rPr>
        <w:t xml:space="preserve"> F</w:t>
      </w:r>
      <w:r w:rsidRPr="005363F8">
        <w:rPr>
          <w:rFonts w:ascii="Times New Roman" w:hAnsi="Times New Roman"/>
        </w:rPr>
        <w:t xml:space="preserve">inancijski rashodi </w:t>
      </w:r>
      <w:r w:rsidR="005363F8" w:rsidRPr="005363F8">
        <w:rPr>
          <w:rFonts w:ascii="Times New Roman" w:hAnsi="Times New Roman"/>
        </w:rPr>
        <w:t>nisu ostvareni</w:t>
      </w:r>
      <w:r w:rsidRPr="005363F8">
        <w:rPr>
          <w:rFonts w:ascii="Times New Roman" w:hAnsi="Times New Roman"/>
        </w:rPr>
        <w:t xml:space="preserve">. Rashodi za nabavu </w:t>
      </w:r>
      <w:r w:rsidR="005363F8" w:rsidRPr="005363F8">
        <w:rPr>
          <w:rFonts w:ascii="Times New Roman" w:hAnsi="Times New Roman"/>
        </w:rPr>
        <w:t>neproizvodne</w:t>
      </w:r>
      <w:r w:rsidRPr="005363F8">
        <w:rPr>
          <w:rFonts w:ascii="Times New Roman" w:hAnsi="Times New Roman"/>
        </w:rPr>
        <w:t xml:space="preserve"> dugotraj</w:t>
      </w:r>
      <w:r w:rsidR="005363F8" w:rsidRPr="005363F8">
        <w:rPr>
          <w:rFonts w:ascii="Times New Roman" w:hAnsi="Times New Roman"/>
        </w:rPr>
        <w:t xml:space="preserve">ne imovine realizirani su </w:t>
      </w:r>
      <w:r w:rsidR="003B1EEB">
        <w:rPr>
          <w:rFonts w:ascii="Times New Roman" w:hAnsi="Times New Roman"/>
        </w:rPr>
        <w:t>42,49% zbog planiranih rashoda za prijavljene projekte na kojima nismo prošli.</w:t>
      </w:r>
      <w:r w:rsidR="003B1EEB" w:rsidRPr="005363F8">
        <w:rPr>
          <w:rFonts w:ascii="Times New Roman" w:hAnsi="Times New Roman"/>
        </w:rPr>
        <w:t xml:space="preserve"> </w:t>
      </w:r>
      <w:r w:rsidR="003B1EEB">
        <w:rPr>
          <w:rFonts w:ascii="Times New Roman" w:hAnsi="Times New Roman"/>
        </w:rPr>
        <w:t xml:space="preserve"> </w:t>
      </w:r>
    </w:p>
    <w:p w:rsidR="00FA6BB5" w:rsidRPr="003A559D" w:rsidRDefault="00FA6BB5" w:rsidP="00655D01">
      <w:pPr>
        <w:rPr>
          <w:rFonts w:ascii="Times New Roman" w:hAnsi="Times New Roman"/>
          <w:color w:val="FF0000"/>
        </w:rPr>
      </w:pPr>
    </w:p>
    <w:p w:rsidR="00FA6BB5" w:rsidRPr="005363F8" w:rsidRDefault="00FA6BB5" w:rsidP="00655D01">
      <w:pPr>
        <w:rPr>
          <w:rFonts w:ascii="Times New Roman" w:hAnsi="Times New Roman"/>
        </w:rPr>
      </w:pPr>
      <w:r w:rsidRPr="005363F8">
        <w:rPr>
          <w:rFonts w:ascii="Times New Roman" w:hAnsi="Times New Roman"/>
          <w:b/>
        </w:rPr>
        <w:t xml:space="preserve">Donacije – </w:t>
      </w:r>
      <w:r w:rsidR="00083727">
        <w:rPr>
          <w:rFonts w:ascii="Times New Roman" w:hAnsi="Times New Roman"/>
        </w:rPr>
        <w:t>ostvarene donacije u o</w:t>
      </w:r>
      <w:r w:rsidR="00933218">
        <w:rPr>
          <w:rFonts w:ascii="Times New Roman" w:hAnsi="Times New Roman"/>
        </w:rPr>
        <w:t>kviru su</w:t>
      </w:r>
      <w:r w:rsidR="005363F8">
        <w:rPr>
          <w:rFonts w:ascii="Times New Roman" w:hAnsi="Times New Roman"/>
        </w:rPr>
        <w:t xml:space="preserve"> planiranih zbog prijenosa vlasništva </w:t>
      </w:r>
      <w:proofErr w:type="spellStart"/>
      <w:r w:rsidR="005363F8">
        <w:rPr>
          <w:rFonts w:ascii="Times New Roman" w:hAnsi="Times New Roman"/>
        </w:rPr>
        <w:t>Carnetove</w:t>
      </w:r>
      <w:proofErr w:type="spellEnd"/>
      <w:r w:rsidR="005363F8">
        <w:rPr>
          <w:rFonts w:ascii="Times New Roman" w:hAnsi="Times New Roman"/>
        </w:rPr>
        <w:t xml:space="preserve"> računalne opreme, donacije Konzuma u obliku sitnog inventara i Prime u obliku namještaja. </w:t>
      </w:r>
    </w:p>
    <w:p w:rsidR="00655D01" w:rsidRDefault="00655D01" w:rsidP="00655D01">
      <w:pPr>
        <w:rPr>
          <w:rFonts w:ascii="Times New Roman" w:hAnsi="Times New Roman"/>
        </w:rPr>
      </w:pPr>
    </w:p>
    <w:p w:rsidR="00FA6BB5" w:rsidRDefault="00FA6BB5" w:rsidP="00655D01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Program  P16 Srednjoškolsko obrazovanje - decentralizacija </w:t>
      </w:r>
      <w:r>
        <w:rPr>
          <w:rFonts w:ascii="Times New Roman" w:hAnsi="Times New Roman"/>
        </w:rPr>
        <w:t xml:space="preserve">sadrži dvije aktivnosti Redovna djelatnost SŠ i Prehrana i smještaj u Učeničkim domovima </w:t>
      </w:r>
      <w:r w:rsidR="000069F5">
        <w:rPr>
          <w:rFonts w:ascii="Times New Roman" w:hAnsi="Times New Roman"/>
        </w:rPr>
        <w:t>–</w:t>
      </w:r>
      <w:r>
        <w:rPr>
          <w:rFonts w:ascii="Times New Roman" w:hAnsi="Times New Roman"/>
        </w:rPr>
        <w:t>DEC</w:t>
      </w:r>
      <w:r w:rsidR="000069F5">
        <w:rPr>
          <w:rFonts w:ascii="Times New Roman" w:hAnsi="Times New Roman"/>
        </w:rPr>
        <w:t xml:space="preserve">. Obje aktivnosti financiraju se iz jednog izvora 12 – decentralizacija. </w:t>
      </w:r>
    </w:p>
    <w:p w:rsidR="000069F5" w:rsidRDefault="000069F5" w:rsidP="00655D01">
      <w:pPr>
        <w:rPr>
          <w:rFonts w:ascii="Times New Roman" w:hAnsi="Times New Roman"/>
        </w:rPr>
      </w:pPr>
    </w:p>
    <w:p w:rsidR="000069F5" w:rsidRDefault="000069F5" w:rsidP="00655D01">
      <w:pPr>
        <w:rPr>
          <w:rFonts w:ascii="Times New Roman" w:hAnsi="Times New Roman"/>
        </w:rPr>
      </w:pPr>
      <w:r w:rsidRPr="000069F5">
        <w:rPr>
          <w:rFonts w:ascii="Times New Roman" w:hAnsi="Times New Roman"/>
          <w:b/>
        </w:rPr>
        <w:lastRenderedPageBreak/>
        <w:t>Redovna djelatnost SŠ</w:t>
      </w:r>
      <w:r>
        <w:rPr>
          <w:rFonts w:ascii="Times New Roman" w:hAnsi="Times New Roman"/>
          <w:b/>
        </w:rPr>
        <w:t xml:space="preserve"> </w:t>
      </w:r>
      <w:r w:rsidR="006D2D5D">
        <w:rPr>
          <w:rFonts w:ascii="Times New Roman" w:hAnsi="Times New Roman"/>
          <w:b/>
        </w:rPr>
        <w:t>–</w:t>
      </w:r>
      <w:r>
        <w:rPr>
          <w:rFonts w:ascii="Times New Roman" w:hAnsi="Times New Roman"/>
          <w:b/>
        </w:rPr>
        <w:t xml:space="preserve"> </w:t>
      </w:r>
      <w:r w:rsidR="006D2D5D" w:rsidRPr="006D2D5D">
        <w:rPr>
          <w:rFonts w:ascii="Times New Roman" w:hAnsi="Times New Roman"/>
        </w:rPr>
        <w:t>izvršene su</w:t>
      </w:r>
      <w:r w:rsidR="006D2D5D">
        <w:rPr>
          <w:rFonts w:ascii="Times New Roman" w:hAnsi="Times New Roman"/>
          <w:b/>
        </w:rPr>
        <w:t xml:space="preserve"> </w:t>
      </w:r>
      <w:r w:rsidR="00933218">
        <w:rPr>
          <w:rFonts w:ascii="Times New Roman" w:hAnsi="Times New Roman"/>
        </w:rPr>
        <w:t>100</w:t>
      </w:r>
      <w:r w:rsidR="006D2D5D" w:rsidRPr="006D2D5D">
        <w:rPr>
          <w:rFonts w:ascii="Times New Roman" w:hAnsi="Times New Roman"/>
        </w:rPr>
        <w:t>%</w:t>
      </w:r>
      <w:r w:rsidR="006D2D5D">
        <w:rPr>
          <w:rFonts w:ascii="Times New Roman" w:hAnsi="Times New Roman"/>
          <w:b/>
        </w:rPr>
        <w:t xml:space="preserve"> </w:t>
      </w:r>
      <w:r w:rsidR="006D2D5D" w:rsidRPr="006D2D5D">
        <w:rPr>
          <w:rFonts w:ascii="Times New Roman" w:hAnsi="Times New Roman"/>
        </w:rPr>
        <w:t>u odnosu na planirano</w:t>
      </w:r>
      <w:r w:rsidR="006D2D5D">
        <w:rPr>
          <w:rFonts w:ascii="Times New Roman" w:hAnsi="Times New Roman"/>
        </w:rPr>
        <w:t>, materi</w:t>
      </w:r>
      <w:r w:rsidR="00595B91">
        <w:rPr>
          <w:rFonts w:ascii="Times New Roman" w:hAnsi="Times New Roman"/>
        </w:rPr>
        <w:t>ja</w:t>
      </w:r>
      <w:r w:rsidR="00933218">
        <w:rPr>
          <w:rFonts w:ascii="Times New Roman" w:hAnsi="Times New Roman"/>
        </w:rPr>
        <w:t>lni r</w:t>
      </w:r>
      <w:r w:rsidR="00083727">
        <w:rPr>
          <w:rFonts w:ascii="Times New Roman" w:hAnsi="Times New Roman"/>
        </w:rPr>
        <w:t>ashodi realizirani su 100,35%, f</w:t>
      </w:r>
      <w:r w:rsidR="00933218">
        <w:rPr>
          <w:rFonts w:ascii="Times New Roman" w:hAnsi="Times New Roman"/>
        </w:rPr>
        <w:t>inancijski rashodi 78,03</w:t>
      </w:r>
      <w:r w:rsidR="008D2EEB">
        <w:rPr>
          <w:rFonts w:ascii="Times New Roman" w:hAnsi="Times New Roman"/>
        </w:rPr>
        <w:t>%</w:t>
      </w:r>
      <w:r w:rsidR="00083727">
        <w:rPr>
          <w:rFonts w:ascii="Times New Roman" w:hAnsi="Times New Roman"/>
        </w:rPr>
        <w:t xml:space="preserve"> i r</w:t>
      </w:r>
      <w:r w:rsidR="006D2D5D">
        <w:rPr>
          <w:rFonts w:ascii="Times New Roman" w:hAnsi="Times New Roman"/>
        </w:rPr>
        <w:t xml:space="preserve">ashodi za nabavu </w:t>
      </w:r>
      <w:proofErr w:type="spellStart"/>
      <w:r w:rsidR="006D2D5D">
        <w:rPr>
          <w:rFonts w:ascii="Times New Roman" w:hAnsi="Times New Roman"/>
        </w:rPr>
        <w:t>neproi</w:t>
      </w:r>
      <w:r w:rsidR="00933218">
        <w:rPr>
          <w:rFonts w:ascii="Times New Roman" w:hAnsi="Times New Roman"/>
        </w:rPr>
        <w:t>zvedene</w:t>
      </w:r>
      <w:proofErr w:type="spellEnd"/>
      <w:r w:rsidR="00933218">
        <w:rPr>
          <w:rFonts w:ascii="Times New Roman" w:hAnsi="Times New Roman"/>
        </w:rPr>
        <w:t xml:space="preserve"> dugotrajne imovine 99</w:t>
      </w:r>
      <w:r w:rsidR="00595B91">
        <w:rPr>
          <w:rFonts w:ascii="Times New Roman" w:hAnsi="Times New Roman"/>
        </w:rPr>
        <w:t>,91</w:t>
      </w:r>
      <w:r w:rsidR="006D2D5D">
        <w:rPr>
          <w:rFonts w:ascii="Times New Roman" w:hAnsi="Times New Roman"/>
        </w:rPr>
        <w:t xml:space="preserve"> %.</w:t>
      </w:r>
      <w:r w:rsidR="00595B91">
        <w:rPr>
          <w:rFonts w:ascii="Times New Roman" w:hAnsi="Times New Roman"/>
        </w:rPr>
        <w:t xml:space="preserve">, </w:t>
      </w:r>
      <w:r w:rsidR="00933218">
        <w:rPr>
          <w:rFonts w:ascii="Times New Roman" w:hAnsi="Times New Roman"/>
        </w:rPr>
        <w:t xml:space="preserve">dok ja planirana otplata kredita izvršena 99,91% planiranog. </w:t>
      </w:r>
    </w:p>
    <w:p w:rsidR="00933218" w:rsidRDefault="00933218" w:rsidP="00655D01">
      <w:pPr>
        <w:rPr>
          <w:rFonts w:ascii="Times New Roman" w:hAnsi="Times New Roman"/>
        </w:rPr>
      </w:pPr>
    </w:p>
    <w:p w:rsidR="006D2D5D" w:rsidRPr="000069F5" w:rsidRDefault="006D2D5D" w:rsidP="006D2D5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Prehrana i smještaj u Učeničkim domovima -DEC – </w:t>
      </w:r>
      <w:r>
        <w:rPr>
          <w:rFonts w:ascii="Times New Roman" w:hAnsi="Times New Roman"/>
        </w:rPr>
        <w:t>izvršeni</w:t>
      </w:r>
      <w:r w:rsidRPr="006D2D5D">
        <w:rPr>
          <w:rFonts w:ascii="Times New Roman" w:hAnsi="Times New Roman"/>
        </w:rPr>
        <w:t xml:space="preserve"> su</w:t>
      </w:r>
      <w:r>
        <w:rPr>
          <w:rFonts w:ascii="Times New Roman" w:hAnsi="Times New Roman"/>
          <w:b/>
        </w:rPr>
        <w:t xml:space="preserve"> </w:t>
      </w:r>
      <w:r w:rsidR="00933218">
        <w:rPr>
          <w:rFonts w:ascii="Times New Roman" w:hAnsi="Times New Roman"/>
        </w:rPr>
        <w:t>100</w:t>
      </w:r>
      <w:r w:rsidRPr="006D2D5D">
        <w:rPr>
          <w:rFonts w:ascii="Times New Roman" w:hAnsi="Times New Roman"/>
        </w:rPr>
        <w:t>%</w:t>
      </w:r>
      <w:r>
        <w:rPr>
          <w:rFonts w:ascii="Times New Roman" w:hAnsi="Times New Roman"/>
          <w:b/>
        </w:rPr>
        <w:t xml:space="preserve"> </w:t>
      </w:r>
      <w:r w:rsidRPr="006D2D5D">
        <w:rPr>
          <w:rFonts w:ascii="Times New Roman" w:hAnsi="Times New Roman"/>
        </w:rPr>
        <w:t>u odnosu na planirano</w:t>
      </w:r>
      <w:r>
        <w:rPr>
          <w:rFonts w:ascii="Times New Roman" w:hAnsi="Times New Roman"/>
        </w:rPr>
        <w:t>, a radi se samo o materijalnim rashodima.</w:t>
      </w:r>
    </w:p>
    <w:p w:rsidR="006D2D5D" w:rsidRDefault="006D2D5D" w:rsidP="00655D01">
      <w:pPr>
        <w:rPr>
          <w:rFonts w:ascii="Times New Roman" w:hAnsi="Times New Roman"/>
        </w:rPr>
      </w:pPr>
    </w:p>
    <w:p w:rsidR="006D2D5D" w:rsidRDefault="006D2D5D" w:rsidP="00655D01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Program  P17 Srednjoškolsko obrazovanje – iznad standarda </w:t>
      </w:r>
      <w:r w:rsidRPr="006D2D5D">
        <w:rPr>
          <w:rFonts w:ascii="Times New Roman" w:hAnsi="Times New Roman"/>
        </w:rPr>
        <w:t xml:space="preserve">ima nekoliko aktivnosti: </w:t>
      </w:r>
      <w:r w:rsidR="00595B91">
        <w:rPr>
          <w:rFonts w:ascii="Times New Roman" w:hAnsi="Times New Roman"/>
        </w:rPr>
        <w:t>Pomoćnik u nastavi  f</w:t>
      </w:r>
      <w:r>
        <w:rPr>
          <w:rFonts w:ascii="Times New Roman" w:hAnsi="Times New Roman"/>
        </w:rPr>
        <w:t>aza VI</w:t>
      </w:r>
      <w:r w:rsidR="00933218">
        <w:rPr>
          <w:rFonts w:ascii="Times New Roman" w:hAnsi="Times New Roman"/>
        </w:rPr>
        <w:t xml:space="preserve"> i VII</w:t>
      </w:r>
      <w:r>
        <w:rPr>
          <w:rFonts w:ascii="Times New Roman" w:hAnsi="Times New Roman"/>
        </w:rPr>
        <w:t xml:space="preserve">, </w:t>
      </w:r>
      <w:proofErr w:type="spellStart"/>
      <w:r w:rsidR="00E002D9">
        <w:rPr>
          <w:rFonts w:ascii="Times New Roman" w:hAnsi="Times New Roman"/>
        </w:rPr>
        <w:t>Šema</w:t>
      </w:r>
      <w:proofErr w:type="spellEnd"/>
      <w:r w:rsidR="00E002D9">
        <w:rPr>
          <w:rFonts w:ascii="Times New Roman" w:hAnsi="Times New Roman"/>
        </w:rPr>
        <w:t xml:space="preserve"> voća (aktivnosti nisu navedene u tabličnom prikazu jer ih Osnivač nije definirao)</w:t>
      </w:r>
      <w:r w:rsidR="00595B91">
        <w:rPr>
          <w:rFonts w:ascii="Times New Roman" w:hAnsi="Times New Roman"/>
        </w:rPr>
        <w:t>.</w:t>
      </w:r>
    </w:p>
    <w:p w:rsidR="00E002D9" w:rsidRDefault="006D2D5D" w:rsidP="00655D0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Županijska natjecanja, Sufinanciranje </w:t>
      </w:r>
      <w:proofErr w:type="spellStart"/>
      <w:r w:rsidR="008D2EEB">
        <w:rPr>
          <w:rFonts w:ascii="Times New Roman" w:hAnsi="Times New Roman"/>
        </w:rPr>
        <w:t>eTehničara</w:t>
      </w:r>
      <w:proofErr w:type="spellEnd"/>
      <w:r w:rsidR="008D2EEB">
        <w:rPr>
          <w:rFonts w:ascii="Times New Roman" w:hAnsi="Times New Roman"/>
        </w:rPr>
        <w:t xml:space="preserve"> i</w:t>
      </w:r>
      <w:r w:rsidR="00595B91">
        <w:rPr>
          <w:rFonts w:ascii="Times New Roman" w:hAnsi="Times New Roman"/>
        </w:rPr>
        <w:t xml:space="preserve"> Osiguranje školskih zgrada, Kulturne i javne djelatnosti škola.</w:t>
      </w:r>
    </w:p>
    <w:p w:rsidR="006D2D5D" w:rsidRDefault="004B2B21" w:rsidP="00655D01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Realaziran</w:t>
      </w:r>
      <w:proofErr w:type="spellEnd"/>
      <w:r>
        <w:rPr>
          <w:rFonts w:ascii="Times New Roman" w:hAnsi="Times New Roman"/>
        </w:rPr>
        <w:t xml:space="preserve"> je na razini 99,89</w:t>
      </w:r>
      <w:r w:rsidR="006D2D5D">
        <w:rPr>
          <w:rFonts w:ascii="Times New Roman" w:hAnsi="Times New Roman"/>
        </w:rPr>
        <w:t xml:space="preserve">% </w:t>
      </w:r>
      <w:r>
        <w:rPr>
          <w:rFonts w:ascii="Times New Roman" w:hAnsi="Times New Roman"/>
        </w:rPr>
        <w:t xml:space="preserve">u skladu s planom. </w:t>
      </w:r>
    </w:p>
    <w:p w:rsidR="009C1150" w:rsidRDefault="009C1150" w:rsidP="00655D01">
      <w:pPr>
        <w:rPr>
          <w:rFonts w:ascii="Times New Roman" w:hAnsi="Times New Roman"/>
          <w:b/>
        </w:rPr>
      </w:pPr>
    </w:p>
    <w:p w:rsidR="00E002D9" w:rsidRDefault="00E002D9" w:rsidP="00655D01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Aktivnosti P</w:t>
      </w:r>
      <w:r w:rsidR="006D2D5D" w:rsidRPr="00E002D9">
        <w:rPr>
          <w:rFonts w:ascii="Times New Roman" w:hAnsi="Times New Roman"/>
          <w:b/>
        </w:rPr>
        <w:t>omoćnik u nas</w:t>
      </w:r>
      <w:r w:rsidRPr="00E002D9">
        <w:rPr>
          <w:rFonts w:ascii="Times New Roman" w:hAnsi="Times New Roman"/>
          <w:b/>
        </w:rPr>
        <w:t>tavi</w:t>
      </w:r>
      <w:r w:rsidR="006D2D5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6D2D5D">
        <w:rPr>
          <w:rFonts w:ascii="Times New Roman" w:hAnsi="Times New Roman"/>
        </w:rPr>
        <w:t>realiziran</w:t>
      </w:r>
      <w:r>
        <w:rPr>
          <w:rFonts w:ascii="Times New Roman" w:hAnsi="Times New Roman"/>
        </w:rPr>
        <w:t xml:space="preserve">i su </w:t>
      </w:r>
      <w:r w:rsidR="004B2B21">
        <w:rPr>
          <w:rFonts w:ascii="Times New Roman" w:hAnsi="Times New Roman"/>
        </w:rPr>
        <w:t xml:space="preserve"> 99,97</w:t>
      </w:r>
      <w:r w:rsidR="006D2D5D">
        <w:rPr>
          <w:rFonts w:ascii="Times New Roman" w:hAnsi="Times New Roman"/>
        </w:rPr>
        <w:t xml:space="preserve">% od planiranog. </w:t>
      </w:r>
    </w:p>
    <w:p w:rsidR="004B2B21" w:rsidRDefault="004B2B21" w:rsidP="00655D01">
      <w:pPr>
        <w:rPr>
          <w:rFonts w:ascii="Times New Roman" w:hAnsi="Times New Roman"/>
        </w:rPr>
      </w:pPr>
    </w:p>
    <w:p w:rsidR="004B2B21" w:rsidRDefault="004B2B21" w:rsidP="004B2B21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Aktivnosti </w:t>
      </w:r>
      <w:proofErr w:type="spellStart"/>
      <w:r>
        <w:rPr>
          <w:rFonts w:ascii="Times New Roman" w:hAnsi="Times New Roman"/>
          <w:b/>
        </w:rPr>
        <w:t>Šema</w:t>
      </w:r>
      <w:proofErr w:type="spellEnd"/>
      <w:r>
        <w:rPr>
          <w:rFonts w:ascii="Times New Roman" w:hAnsi="Times New Roman"/>
          <w:b/>
        </w:rPr>
        <w:t xml:space="preserve"> voća</w:t>
      </w:r>
      <w:r>
        <w:rPr>
          <w:rFonts w:ascii="Times New Roman" w:hAnsi="Times New Roman"/>
        </w:rPr>
        <w:t xml:space="preserve">  realizirani su  99,88 %od planiranog. </w:t>
      </w:r>
    </w:p>
    <w:p w:rsidR="000E7F16" w:rsidRDefault="000E7F16" w:rsidP="00655D01">
      <w:pPr>
        <w:rPr>
          <w:rFonts w:ascii="Times New Roman" w:hAnsi="Times New Roman"/>
        </w:rPr>
      </w:pPr>
    </w:p>
    <w:p w:rsidR="000E7F16" w:rsidRDefault="000E7F16" w:rsidP="00655D01">
      <w:pPr>
        <w:rPr>
          <w:rFonts w:ascii="Times New Roman" w:hAnsi="Times New Roman"/>
        </w:rPr>
      </w:pPr>
    </w:p>
    <w:p w:rsidR="000E7F16" w:rsidRDefault="000E7F16" w:rsidP="00655D01">
      <w:pPr>
        <w:rPr>
          <w:rFonts w:ascii="Times New Roman" w:hAnsi="Times New Roman"/>
        </w:rPr>
      </w:pPr>
      <w:r w:rsidRPr="000E7F16">
        <w:rPr>
          <w:rFonts w:ascii="Times New Roman" w:hAnsi="Times New Roman"/>
          <w:b/>
        </w:rPr>
        <w:t>Aktivnost Županijska natjecanja</w:t>
      </w:r>
      <w:r>
        <w:rPr>
          <w:rFonts w:ascii="Times New Roman" w:hAnsi="Times New Roman"/>
          <w:b/>
        </w:rPr>
        <w:t xml:space="preserve"> </w:t>
      </w:r>
      <w:r w:rsidR="004B2B21">
        <w:rPr>
          <w:rFonts w:ascii="Times New Roman" w:hAnsi="Times New Roman"/>
        </w:rPr>
        <w:t>realiziran je 100</w:t>
      </w:r>
      <w:r w:rsidRPr="000E7F16">
        <w:rPr>
          <w:rFonts w:ascii="Times New Roman" w:hAnsi="Times New Roman"/>
        </w:rPr>
        <w:t>%. Korištena su dva izvora 11 i 15 iz kojih su financirani materijalni</w:t>
      </w:r>
      <w:r>
        <w:rPr>
          <w:rFonts w:ascii="Times New Roman" w:hAnsi="Times New Roman"/>
          <w:b/>
        </w:rPr>
        <w:t xml:space="preserve"> </w:t>
      </w:r>
      <w:r w:rsidRPr="000E7F16">
        <w:rPr>
          <w:rFonts w:ascii="Times New Roman" w:hAnsi="Times New Roman"/>
        </w:rPr>
        <w:t>rashodi.</w:t>
      </w:r>
    </w:p>
    <w:p w:rsidR="000E7F16" w:rsidRDefault="000E7F16" w:rsidP="00655D01">
      <w:pPr>
        <w:rPr>
          <w:rFonts w:ascii="Times New Roman" w:hAnsi="Times New Roman"/>
        </w:rPr>
      </w:pPr>
    </w:p>
    <w:p w:rsidR="000E7F16" w:rsidRDefault="000E7F16" w:rsidP="00655D01">
      <w:pPr>
        <w:rPr>
          <w:rFonts w:ascii="Times New Roman" w:hAnsi="Times New Roman"/>
        </w:rPr>
      </w:pPr>
      <w:r w:rsidRPr="000E7F16">
        <w:rPr>
          <w:rFonts w:ascii="Times New Roman" w:hAnsi="Times New Roman"/>
          <w:b/>
        </w:rPr>
        <w:t>Aktivnost E-tehničar</w:t>
      </w:r>
      <w:r w:rsidR="004B2B21">
        <w:rPr>
          <w:rFonts w:ascii="Times New Roman" w:hAnsi="Times New Roman"/>
        </w:rPr>
        <w:t xml:space="preserve"> izvršena je 95,58</w:t>
      </w:r>
      <w:r>
        <w:rPr>
          <w:rFonts w:ascii="Times New Roman" w:hAnsi="Times New Roman"/>
        </w:rPr>
        <w:t xml:space="preserve">% </w:t>
      </w:r>
      <w:r w:rsidR="00A4783C">
        <w:rPr>
          <w:rFonts w:ascii="Times New Roman" w:hAnsi="Times New Roman"/>
        </w:rPr>
        <w:t>u odnosu na tekući plan</w:t>
      </w:r>
      <w:r>
        <w:rPr>
          <w:rFonts w:ascii="Times New Roman" w:hAnsi="Times New Roman"/>
        </w:rPr>
        <w:t xml:space="preserve">i financirane su računalne usluge. </w:t>
      </w:r>
    </w:p>
    <w:p w:rsidR="000E7F16" w:rsidRDefault="000E7F16" w:rsidP="00655D01">
      <w:pPr>
        <w:rPr>
          <w:rFonts w:ascii="Times New Roman" w:hAnsi="Times New Roman"/>
        </w:rPr>
      </w:pPr>
    </w:p>
    <w:p w:rsidR="004B2B21" w:rsidRDefault="000E7F16" w:rsidP="00655D01">
      <w:pPr>
        <w:rPr>
          <w:rFonts w:ascii="Times New Roman" w:hAnsi="Times New Roman"/>
        </w:rPr>
      </w:pPr>
      <w:r w:rsidRPr="000E7F16">
        <w:rPr>
          <w:rFonts w:ascii="Times New Roman" w:hAnsi="Times New Roman"/>
          <w:b/>
        </w:rPr>
        <w:t>Aktivnost osiguranja školskih zgrada</w:t>
      </w:r>
      <w:r>
        <w:rPr>
          <w:rFonts w:ascii="Times New Roman" w:hAnsi="Times New Roman"/>
        </w:rPr>
        <w:t xml:space="preserve"> </w:t>
      </w:r>
      <w:r w:rsidR="004B2B21">
        <w:rPr>
          <w:rFonts w:ascii="Times New Roman" w:hAnsi="Times New Roman"/>
        </w:rPr>
        <w:t>ostvarena je 99,99</w:t>
      </w:r>
      <w:r w:rsidR="00083727">
        <w:rPr>
          <w:rFonts w:ascii="Times New Roman" w:hAnsi="Times New Roman"/>
        </w:rPr>
        <w:t xml:space="preserve"> % od planiranog.</w:t>
      </w:r>
    </w:p>
    <w:p w:rsidR="00A4783C" w:rsidRDefault="00A4783C" w:rsidP="00655D01">
      <w:pPr>
        <w:rPr>
          <w:rFonts w:ascii="Times New Roman" w:hAnsi="Times New Roman"/>
        </w:rPr>
      </w:pPr>
      <w:r w:rsidRPr="00A4783C">
        <w:rPr>
          <w:rFonts w:ascii="Times New Roman" w:hAnsi="Times New Roman"/>
          <w:b/>
        </w:rPr>
        <w:t>Aktivnost Kulturne i javne</w:t>
      </w:r>
      <w:r>
        <w:rPr>
          <w:rFonts w:ascii="Times New Roman" w:hAnsi="Times New Roman"/>
        </w:rPr>
        <w:t xml:space="preserve"> </w:t>
      </w:r>
      <w:r w:rsidRPr="009233DA">
        <w:rPr>
          <w:rFonts w:ascii="Times New Roman" w:hAnsi="Times New Roman"/>
          <w:b/>
        </w:rPr>
        <w:t>djelatnosti</w:t>
      </w:r>
      <w:r w:rsidR="004B2B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realizirana</w:t>
      </w:r>
      <w:r w:rsidR="004B2B21">
        <w:rPr>
          <w:rFonts w:ascii="Times New Roman" w:hAnsi="Times New Roman"/>
        </w:rPr>
        <w:t xml:space="preserve"> je 100 %</w:t>
      </w:r>
      <w:r>
        <w:rPr>
          <w:rFonts w:ascii="Times New Roman" w:hAnsi="Times New Roman"/>
        </w:rPr>
        <w:t xml:space="preserve"> </w:t>
      </w:r>
    </w:p>
    <w:p w:rsidR="00443AB6" w:rsidRDefault="00443AB6" w:rsidP="00655D01">
      <w:pPr>
        <w:rPr>
          <w:rFonts w:ascii="Times New Roman" w:hAnsi="Times New Roman"/>
        </w:rPr>
      </w:pPr>
    </w:p>
    <w:p w:rsidR="004555ED" w:rsidRDefault="009C1150" w:rsidP="00F208D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Proračunski korisnik, Srednja škola ˝August Šenoa˝ Garešnica </w:t>
      </w:r>
      <w:r w:rsidR="007E1DBD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ije koristila sredstva fondova Europske unije. Nema danih zajmova i potraživanja po danim zajmovima. Nema potencijalnih obveza po sudskim sporovima, niti danih jamstava i plaćanja po protestiranim jamstvima. </w:t>
      </w:r>
    </w:p>
    <w:p w:rsidR="00EA70A1" w:rsidRDefault="00EA70A1" w:rsidP="00F208DC">
      <w:pPr>
        <w:jc w:val="both"/>
        <w:rPr>
          <w:rFonts w:ascii="Times New Roman" w:hAnsi="Times New Roman"/>
        </w:rPr>
      </w:pPr>
    </w:p>
    <w:p w:rsidR="001F6FB5" w:rsidRDefault="001F6FB5" w:rsidP="00655D01">
      <w:pPr>
        <w:rPr>
          <w:rFonts w:ascii="Times New Roman" w:hAnsi="Times New Roman"/>
        </w:rPr>
      </w:pPr>
      <w:r>
        <w:rPr>
          <w:rFonts w:ascii="Times New Roman" w:hAnsi="Times New Roman"/>
        </w:rPr>
        <w:t>Tablica potraživanja i dospjelih obveza:</w:t>
      </w:r>
    </w:p>
    <w:p w:rsidR="006D2D5D" w:rsidRDefault="006D2D5D" w:rsidP="00655D01">
      <w:pPr>
        <w:rPr>
          <w:rFonts w:ascii="Times New Roman" w:hAnsi="Times New Roman"/>
          <w:b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6498"/>
        <w:gridCol w:w="6498"/>
      </w:tblGrid>
      <w:tr w:rsidR="009C1150" w:rsidTr="009C1150">
        <w:trPr>
          <w:jc w:val="center"/>
        </w:trPr>
        <w:tc>
          <w:tcPr>
            <w:tcW w:w="6498" w:type="dxa"/>
            <w:shd w:val="clear" w:color="auto" w:fill="D9D9D9" w:themeFill="background1" w:themeFillShade="D9"/>
          </w:tcPr>
          <w:p w:rsidR="009C1150" w:rsidRPr="009C1150" w:rsidRDefault="009C1150" w:rsidP="00655D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C1150">
              <w:rPr>
                <w:rFonts w:ascii="Arial" w:hAnsi="Arial" w:cs="Arial"/>
                <w:b/>
                <w:sz w:val="20"/>
                <w:szCs w:val="20"/>
              </w:rPr>
              <w:t>SREDNJA ŠKOLA ˝AUGUST ŠENOA˝ GAREŠNICA  - 18872</w:t>
            </w:r>
          </w:p>
        </w:tc>
        <w:tc>
          <w:tcPr>
            <w:tcW w:w="6498" w:type="dxa"/>
            <w:vMerge w:val="restart"/>
            <w:shd w:val="clear" w:color="auto" w:fill="D9D9D9" w:themeFill="background1" w:themeFillShade="D9"/>
            <w:vAlign w:val="center"/>
          </w:tcPr>
          <w:p w:rsidR="009C1150" w:rsidRPr="009C1150" w:rsidRDefault="004B2B21" w:rsidP="009C11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STANJE NA 31.12</w:t>
            </w:r>
            <w:r w:rsidR="007E1DBD">
              <w:rPr>
                <w:rFonts w:ascii="Arial" w:hAnsi="Arial" w:cs="Arial"/>
                <w:b/>
                <w:sz w:val="20"/>
                <w:szCs w:val="20"/>
              </w:rPr>
              <w:t>.2024</w:t>
            </w:r>
            <w:r w:rsidR="009C1150" w:rsidRPr="009C115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9C1150" w:rsidTr="009C1150">
        <w:trPr>
          <w:jc w:val="center"/>
        </w:trPr>
        <w:tc>
          <w:tcPr>
            <w:tcW w:w="6498" w:type="dxa"/>
            <w:shd w:val="clear" w:color="auto" w:fill="D9D9D9" w:themeFill="background1" w:themeFillShade="D9"/>
          </w:tcPr>
          <w:p w:rsidR="009C1150" w:rsidRPr="009C1150" w:rsidRDefault="009C1150" w:rsidP="009C11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1150">
              <w:rPr>
                <w:rFonts w:ascii="Arial" w:hAnsi="Arial" w:cs="Arial"/>
                <w:b/>
                <w:sz w:val="20"/>
                <w:szCs w:val="20"/>
              </w:rPr>
              <w:t>OPIS</w:t>
            </w:r>
          </w:p>
        </w:tc>
        <w:tc>
          <w:tcPr>
            <w:tcW w:w="6498" w:type="dxa"/>
            <w:vMerge/>
            <w:shd w:val="clear" w:color="auto" w:fill="D9D9D9" w:themeFill="background1" w:themeFillShade="D9"/>
          </w:tcPr>
          <w:p w:rsidR="009C1150" w:rsidRPr="009C1150" w:rsidRDefault="009C1150" w:rsidP="00655D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150" w:rsidTr="009C1150">
        <w:trPr>
          <w:jc w:val="center"/>
        </w:trPr>
        <w:tc>
          <w:tcPr>
            <w:tcW w:w="6498" w:type="dxa"/>
          </w:tcPr>
          <w:p w:rsidR="009C1150" w:rsidRPr="009C1150" w:rsidRDefault="009C1150" w:rsidP="00655D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Nenaplaćena potraživanja</w:t>
            </w:r>
          </w:p>
        </w:tc>
        <w:tc>
          <w:tcPr>
            <w:tcW w:w="6498" w:type="dxa"/>
          </w:tcPr>
          <w:p w:rsidR="009C1150" w:rsidRPr="009C1150" w:rsidRDefault="006E3B84" w:rsidP="001B45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B84">
              <w:rPr>
                <w:rFonts w:ascii="Arial" w:hAnsi="Arial" w:cs="Arial"/>
                <w:sz w:val="20"/>
                <w:szCs w:val="20"/>
              </w:rPr>
              <w:t>16.204,72</w:t>
            </w:r>
            <w:r w:rsidR="001B4587" w:rsidRPr="006E3B84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9C1150" w:rsidTr="009C1150">
        <w:trPr>
          <w:jc w:val="center"/>
        </w:trPr>
        <w:tc>
          <w:tcPr>
            <w:tcW w:w="6498" w:type="dxa"/>
          </w:tcPr>
          <w:p w:rsidR="009C1150" w:rsidRPr="009C1150" w:rsidRDefault="007E1DBD" w:rsidP="00655D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Dospjele</w:t>
            </w:r>
            <w:r w:rsidR="009C1150">
              <w:rPr>
                <w:rFonts w:ascii="Arial" w:hAnsi="Arial" w:cs="Arial"/>
                <w:sz w:val="20"/>
                <w:szCs w:val="20"/>
              </w:rPr>
              <w:t xml:space="preserve"> obveze</w:t>
            </w:r>
          </w:p>
        </w:tc>
        <w:tc>
          <w:tcPr>
            <w:tcW w:w="6498" w:type="dxa"/>
          </w:tcPr>
          <w:p w:rsidR="009C1150" w:rsidRPr="009C1150" w:rsidRDefault="004B2B21" w:rsidP="009C11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8.725,00 eur</w:t>
            </w:r>
          </w:p>
        </w:tc>
      </w:tr>
      <w:tr w:rsidR="009C1150" w:rsidTr="009C1150">
        <w:trPr>
          <w:jc w:val="center"/>
        </w:trPr>
        <w:tc>
          <w:tcPr>
            <w:tcW w:w="6498" w:type="dxa"/>
          </w:tcPr>
          <w:p w:rsidR="009C1150" w:rsidRPr="009C1150" w:rsidRDefault="009C1150" w:rsidP="00655D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Potencijalne obveze po sudskim sporovima </w:t>
            </w:r>
          </w:p>
        </w:tc>
        <w:tc>
          <w:tcPr>
            <w:tcW w:w="6498" w:type="dxa"/>
          </w:tcPr>
          <w:p w:rsidR="009C1150" w:rsidRPr="009C1150" w:rsidRDefault="009C1150" w:rsidP="009C11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0069F5" w:rsidRDefault="000069F5" w:rsidP="00655D01">
      <w:pPr>
        <w:rPr>
          <w:rFonts w:ascii="Times New Roman" w:hAnsi="Times New Roman"/>
        </w:rPr>
      </w:pPr>
    </w:p>
    <w:p w:rsidR="000069F5" w:rsidRDefault="00F34C97" w:rsidP="00655D01">
      <w:pPr>
        <w:rPr>
          <w:rFonts w:ascii="Times New Roman" w:hAnsi="Times New Roman"/>
        </w:rPr>
      </w:pPr>
      <w:r>
        <w:rPr>
          <w:rFonts w:ascii="Times New Roman" w:hAnsi="Times New Roman"/>
        </w:rPr>
        <w:t>Tablica zaduženja</w:t>
      </w:r>
      <w:r w:rsidR="001F6FB5">
        <w:rPr>
          <w:rFonts w:ascii="Times New Roman" w:hAnsi="Times New Roman"/>
        </w:rPr>
        <w:t xml:space="preserve">: </w:t>
      </w:r>
    </w:p>
    <w:p w:rsidR="005E0D44" w:rsidRDefault="005E0D44" w:rsidP="00655D01">
      <w:pPr>
        <w:rPr>
          <w:rFonts w:ascii="Times New Roman" w:hAnsi="Times New Roman"/>
        </w:rPr>
      </w:pPr>
    </w:p>
    <w:tbl>
      <w:tblPr>
        <w:tblW w:w="12895" w:type="dxa"/>
        <w:tblLook w:val="04A0" w:firstRow="1" w:lastRow="0" w:firstColumn="1" w:lastColumn="0" w:noHBand="0" w:noVBand="1"/>
      </w:tblPr>
      <w:tblGrid>
        <w:gridCol w:w="1060"/>
        <w:gridCol w:w="1622"/>
        <w:gridCol w:w="2785"/>
        <w:gridCol w:w="960"/>
        <w:gridCol w:w="1460"/>
        <w:gridCol w:w="1606"/>
        <w:gridCol w:w="1984"/>
        <w:gridCol w:w="1418"/>
      </w:tblGrid>
      <w:tr w:rsidR="005E0D44" w:rsidRPr="005E0D44" w:rsidTr="005E0D44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44" w:rsidRPr="005E0D44" w:rsidRDefault="005E0D44" w:rsidP="005E0D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E0D4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Redni broj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44" w:rsidRPr="005E0D44" w:rsidRDefault="005E0D44" w:rsidP="005E0D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E0D4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Vrsta instrumenta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44" w:rsidRPr="005E0D44" w:rsidRDefault="005E0D44" w:rsidP="005E0D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E0D4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Banka/MFI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44" w:rsidRPr="005E0D44" w:rsidRDefault="005E0D44" w:rsidP="005E0D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E0D4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Valuta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44" w:rsidRPr="005E0D44" w:rsidRDefault="005E0D44" w:rsidP="005E0D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E0D4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Ugovoreni iznos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44" w:rsidRPr="005E0D44" w:rsidRDefault="005E0D44" w:rsidP="005E0D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E0D4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Kamatna stopa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44" w:rsidRPr="005E0D44" w:rsidRDefault="005E0D44" w:rsidP="005E0D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E0D4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Datum otplate posljednje rate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44" w:rsidRPr="005E0D44" w:rsidRDefault="005E0D44" w:rsidP="005E0D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E0D4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Broj rata</w:t>
            </w:r>
          </w:p>
        </w:tc>
      </w:tr>
      <w:tr w:rsidR="005E0D44" w:rsidRPr="005E0D44" w:rsidTr="005E0D4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44" w:rsidRPr="005E0D44" w:rsidRDefault="005E0D44" w:rsidP="005E0D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E0D4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44" w:rsidRPr="005E0D44" w:rsidRDefault="005E0D44" w:rsidP="005E0D4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0D44">
              <w:rPr>
                <w:rFonts w:ascii="Calibri" w:hAnsi="Calibri"/>
                <w:color w:val="000000"/>
                <w:sz w:val="22"/>
                <w:szCs w:val="22"/>
              </w:rPr>
              <w:t xml:space="preserve">Financijski </w:t>
            </w:r>
            <w:proofErr w:type="spellStart"/>
            <w:r w:rsidRPr="005E0D44">
              <w:rPr>
                <w:rFonts w:ascii="Calibri" w:hAnsi="Calibri"/>
                <w:color w:val="000000"/>
                <w:sz w:val="22"/>
                <w:szCs w:val="22"/>
              </w:rPr>
              <w:t>leasing</w:t>
            </w:r>
            <w:proofErr w:type="spellEnd"/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44" w:rsidRPr="005E0D44" w:rsidRDefault="005E0D44" w:rsidP="005E0D4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0D44">
              <w:rPr>
                <w:rFonts w:ascii="Calibri" w:hAnsi="Calibri"/>
                <w:color w:val="000000"/>
                <w:sz w:val="22"/>
                <w:szCs w:val="22"/>
              </w:rPr>
              <w:t xml:space="preserve"> Uni Credit </w:t>
            </w:r>
            <w:proofErr w:type="spellStart"/>
            <w:r w:rsidRPr="005E0D44">
              <w:rPr>
                <w:rFonts w:ascii="Calibri" w:hAnsi="Calibri"/>
                <w:color w:val="000000"/>
                <w:sz w:val="22"/>
                <w:szCs w:val="22"/>
              </w:rPr>
              <w:t>Leasing</w:t>
            </w:r>
            <w:proofErr w:type="spellEnd"/>
            <w:r w:rsidRPr="005E0D44">
              <w:rPr>
                <w:rFonts w:ascii="Calibri" w:hAnsi="Calibri"/>
                <w:color w:val="000000"/>
                <w:sz w:val="22"/>
                <w:szCs w:val="22"/>
              </w:rPr>
              <w:t xml:space="preserve"> Croatia </w:t>
            </w:r>
            <w:proofErr w:type="spellStart"/>
            <w:r w:rsidRPr="005E0D44">
              <w:rPr>
                <w:rFonts w:ascii="Calibri" w:hAnsi="Calibri"/>
                <w:color w:val="000000"/>
                <w:sz w:val="22"/>
                <w:szCs w:val="22"/>
              </w:rPr>
              <w:t>doo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44" w:rsidRPr="005E0D44" w:rsidRDefault="005E0D44" w:rsidP="009E6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0D44">
              <w:rPr>
                <w:rFonts w:ascii="Calibri" w:hAnsi="Calibri"/>
                <w:color w:val="000000"/>
                <w:sz w:val="22"/>
                <w:szCs w:val="22"/>
              </w:rPr>
              <w:t>eur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44" w:rsidRPr="005E0D44" w:rsidRDefault="005E0D44" w:rsidP="009E6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0D44">
              <w:rPr>
                <w:rFonts w:ascii="Calibri" w:hAnsi="Calibri"/>
                <w:color w:val="000000"/>
                <w:sz w:val="22"/>
                <w:szCs w:val="22"/>
              </w:rPr>
              <w:t>44.341,06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44" w:rsidRPr="005E0D44" w:rsidRDefault="005E0D44" w:rsidP="009E6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0D44">
              <w:rPr>
                <w:rFonts w:ascii="Calibri" w:hAnsi="Calibri"/>
                <w:color w:val="000000"/>
                <w:sz w:val="22"/>
                <w:szCs w:val="22"/>
              </w:rPr>
              <w:t>6,25%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44" w:rsidRPr="005E0D44" w:rsidRDefault="005E0D44" w:rsidP="009E6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0D44">
              <w:rPr>
                <w:rFonts w:ascii="Calibri" w:hAnsi="Calibri"/>
                <w:color w:val="000000"/>
                <w:sz w:val="22"/>
                <w:szCs w:val="22"/>
              </w:rPr>
              <w:t>8.7.2031.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44" w:rsidRPr="005E0D44" w:rsidRDefault="005E0D44" w:rsidP="009E6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0D44"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</w:tr>
    </w:tbl>
    <w:p w:rsidR="005E0D44" w:rsidRDefault="005E0D44" w:rsidP="00655D01">
      <w:pPr>
        <w:rPr>
          <w:rFonts w:ascii="Times New Roman" w:hAnsi="Times New Roman"/>
        </w:rPr>
      </w:pPr>
    </w:p>
    <w:p w:rsidR="005E0D44" w:rsidRDefault="005E0D44" w:rsidP="00655D01">
      <w:pPr>
        <w:rPr>
          <w:rFonts w:ascii="Times New Roman" w:hAnsi="Times New Roman"/>
        </w:rPr>
      </w:pPr>
    </w:p>
    <w:p w:rsidR="00F34C97" w:rsidRPr="003C1769" w:rsidRDefault="009625F7" w:rsidP="00655D01">
      <w:pPr>
        <w:rPr>
          <w:rFonts w:ascii="Times New Roman" w:hAnsi="Times New Roman"/>
          <w:b/>
        </w:rPr>
      </w:pPr>
      <w:r w:rsidRPr="003C1769">
        <w:rPr>
          <w:rFonts w:ascii="Times New Roman" w:hAnsi="Times New Roman"/>
          <w:b/>
        </w:rPr>
        <w:t>Prijenos sredstava po izvorima financiranja</w:t>
      </w:r>
      <w:r w:rsidR="003C1769" w:rsidRPr="003C1769">
        <w:rPr>
          <w:rFonts w:ascii="Times New Roman" w:hAnsi="Times New Roman"/>
          <w:b/>
        </w:rPr>
        <w:t xml:space="preserve"> iz 2023</w:t>
      </w:r>
      <w:r w:rsidR="001F6FB5" w:rsidRPr="003C1769">
        <w:rPr>
          <w:rFonts w:ascii="Times New Roman" w:hAnsi="Times New Roman"/>
          <w:b/>
        </w:rPr>
        <w:t>:</w:t>
      </w:r>
    </w:p>
    <w:p w:rsidR="001F6FB5" w:rsidRDefault="001F6FB5" w:rsidP="00655D01">
      <w:pPr>
        <w:rPr>
          <w:rFonts w:ascii="Times New Roman" w:hAnsi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332"/>
        <w:gridCol w:w="4332"/>
        <w:gridCol w:w="4332"/>
      </w:tblGrid>
      <w:tr w:rsidR="001F6FB5" w:rsidTr="001F6FB5">
        <w:tc>
          <w:tcPr>
            <w:tcW w:w="4332" w:type="dxa"/>
          </w:tcPr>
          <w:p w:rsidR="001F6FB5" w:rsidRPr="001F6FB5" w:rsidRDefault="001F6FB5" w:rsidP="001F6FB5">
            <w:pPr>
              <w:jc w:val="both"/>
              <w:rPr>
                <w:rFonts w:ascii="Times New Roman" w:hAnsi="Times New Roman"/>
                <w:b/>
              </w:rPr>
            </w:pPr>
            <w:r w:rsidRPr="001F6FB5">
              <w:rPr>
                <w:rFonts w:ascii="Times New Roman" w:hAnsi="Times New Roman"/>
                <w:b/>
              </w:rPr>
              <w:t>Izvori financiranja</w:t>
            </w:r>
          </w:p>
        </w:tc>
        <w:tc>
          <w:tcPr>
            <w:tcW w:w="4332" w:type="dxa"/>
          </w:tcPr>
          <w:p w:rsidR="001F6FB5" w:rsidRPr="001F6FB5" w:rsidRDefault="001F6FB5" w:rsidP="001F6FB5">
            <w:pPr>
              <w:jc w:val="center"/>
              <w:rPr>
                <w:rFonts w:ascii="Times New Roman" w:hAnsi="Times New Roman"/>
                <w:b/>
              </w:rPr>
            </w:pPr>
            <w:r w:rsidRPr="001F6FB5">
              <w:rPr>
                <w:rFonts w:ascii="Times New Roman" w:hAnsi="Times New Roman"/>
                <w:b/>
              </w:rPr>
              <w:t>Preneseno iz prethodne godine</w:t>
            </w:r>
          </w:p>
        </w:tc>
        <w:tc>
          <w:tcPr>
            <w:tcW w:w="4332" w:type="dxa"/>
          </w:tcPr>
          <w:p w:rsidR="001F6FB5" w:rsidRPr="001F6FB5" w:rsidRDefault="00BF3712" w:rsidP="001F6FB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Izvršeno 1-12/</w:t>
            </w:r>
            <w:r w:rsidR="001F6FB5" w:rsidRPr="001F6FB5">
              <w:rPr>
                <w:rFonts w:ascii="Times New Roman" w:hAnsi="Times New Roman"/>
                <w:b/>
              </w:rPr>
              <w:t>2024</w:t>
            </w:r>
          </w:p>
        </w:tc>
      </w:tr>
      <w:tr w:rsidR="001F6FB5" w:rsidTr="001F6FB5">
        <w:tc>
          <w:tcPr>
            <w:tcW w:w="4332" w:type="dxa"/>
          </w:tcPr>
          <w:p w:rsidR="001F6FB5" w:rsidRDefault="003C1769" w:rsidP="00655D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F6FB5">
              <w:rPr>
                <w:rFonts w:ascii="Times New Roman" w:hAnsi="Times New Roman"/>
              </w:rPr>
              <w:t>2   Vlastiti prihodi - preneseni višak</w:t>
            </w:r>
          </w:p>
        </w:tc>
        <w:tc>
          <w:tcPr>
            <w:tcW w:w="4332" w:type="dxa"/>
          </w:tcPr>
          <w:p w:rsidR="001F6FB5" w:rsidRDefault="001F6FB5" w:rsidP="001F6FB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9.082,54 </w:t>
            </w:r>
          </w:p>
        </w:tc>
        <w:tc>
          <w:tcPr>
            <w:tcW w:w="4332" w:type="dxa"/>
          </w:tcPr>
          <w:p w:rsidR="001F6FB5" w:rsidRPr="006E3B84" w:rsidRDefault="00F60AF5" w:rsidP="001F6FB5">
            <w:pPr>
              <w:jc w:val="right"/>
              <w:rPr>
                <w:rFonts w:ascii="Times New Roman" w:hAnsi="Times New Roman"/>
              </w:rPr>
            </w:pPr>
            <w:r w:rsidRPr="006E3B84">
              <w:rPr>
                <w:rFonts w:ascii="Times New Roman" w:hAnsi="Times New Roman"/>
              </w:rPr>
              <w:t>8.531,25</w:t>
            </w:r>
          </w:p>
        </w:tc>
      </w:tr>
      <w:tr w:rsidR="001F6FB5" w:rsidTr="001F6FB5">
        <w:tc>
          <w:tcPr>
            <w:tcW w:w="4332" w:type="dxa"/>
          </w:tcPr>
          <w:p w:rsidR="001F6FB5" w:rsidRDefault="003C1769" w:rsidP="00655D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F6FB5">
              <w:rPr>
                <w:rFonts w:ascii="Times New Roman" w:hAnsi="Times New Roman"/>
              </w:rPr>
              <w:t>5   Prihodi za posebne namjene</w:t>
            </w:r>
          </w:p>
        </w:tc>
        <w:tc>
          <w:tcPr>
            <w:tcW w:w="4332" w:type="dxa"/>
          </w:tcPr>
          <w:p w:rsidR="001F6FB5" w:rsidRDefault="001F6FB5" w:rsidP="001F6FB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26.701,72</w:t>
            </w:r>
          </w:p>
        </w:tc>
        <w:tc>
          <w:tcPr>
            <w:tcW w:w="4332" w:type="dxa"/>
          </w:tcPr>
          <w:p w:rsidR="001F6FB5" w:rsidRPr="006E3B84" w:rsidRDefault="009334FF" w:rsidP="001F6FB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14.367,50</w:t>
            </w:r>
          </w:p>
        </w:tc>
      </w:tr>
      <w:tr w:rsidR="001F6FB5" w:rsidTr="001F6FB5">
        <w:tc>
          <w:tcPr>
            <w:tcW w:w="4332" w:type="dxa"/>
          </w:tcPr>
          <w:p w:rsidR="001F6FB5" w:rsidRDefault="003C1769" w:rsidP="00655D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1F6FB5">
              <w:rPr>
                <w:rFonts w:ascii="Times New Roman" w:hAnsi="Times New Roman"/>
              </w:rPr>
              <w:t>11 Pomoći iz proračuna</w:t>
            </w:r>
          </w:p>
        </w:tc>
        <w:tc>
          <w:tcPr>
            <w:tcW w:w="4332" w:type="dxa"/>
          </w:tcPr>
          <w:p w:rsidR="001F6FB5" w:rsidRDefault="001F6FB5" w:rsidP="001F6FB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4.665,40</w:t>
            </w:r>
          </w:p>
        </w:tc>
        <w:tc>
          <w:tcPr>
            <w:tcW w:w="4332" w:type="dxa"/>
          </w:tcPr>
          <w:p w:rsidR="001F6FB5" w:rsidRPr="006E3B84" w:rsidRDefault="00BF3712" w:rsidP="001F6FB5">
            <w:pPr>
              <w:jc w:val="right"/>
              <w:rPr>
                <w:rFonts w:ascii="Times New Roman" w:hAnsi="Times New Roman"/>
              </w:rPr>
            </w:pPr>
            <w:r w:rsidRPr="006E3B84">
              <w:rPr>
                <w:rFonts w:ascii="Times New Roman" w:hAnsi="Times New Roman"/>
              </w:rPr>
              <w:t>4.665,40</w:t>
            </w:r>
          </w:p>
        </w:tc>
      </w:tr>
    </w:tbl>
    <w:p w:rsidR="000069F5" w:rsidRDefault="000069F5" w:rsidP="00655D01">
      <w:pPr>
        <w:rPr>
          <w:rFonts w:ascii="Times New Roman" w:hAnsi="Times New Roman"/>
        </w:rPr>
      </w:pPr>
    </w:p>
    <w:p w:rsidR="00956B73" w:rsidRDefault="00956B73" w:rsidP="00655D01">
      <w:pPr>
        <w:rPr>
          <w:rFonts w:ascii="Times New Roman" w:hAnsi="Times New Roman"/>
        </w:rPr>
      </w:pPr>
      <w:r>
        <w:rPr>
          <w:rFonts w:ascii="Times New Roman" w:hAnsi="Times New Roman"/>
        </w:rPr>
        <w:t>Ukupno stanje na računima podskupine 922 u Glavnoj knjizi i u Financijskom izvještajima na dan 31.12.2023. iznosi 40.449,66 eura. Višak je ostvaren na tri izvora</w:t>
      </w:r>
      <w:r w:rsidR="00FB1F1F">
        <w:rPr>
          <w:rFonts w:ascii="Times New Roman" w:hAnsi="Times New Roman"/>
        </w:rPr>
        <w:t>. Izvor 5</w:t>
      </w:r>
      <w:r>
        <w:rPr>
          <w:rFonts w:ascii="Times New Roman" w:hAnsi="Times New Roman"/>
        </w:rPr>
        <w:t>11 odnosi se na Pomoći iz proračuna koji nije nadležan, ostvareni su na kraju 2023.g. za projekte Nisi</w:t>
      </w:r>
      <w:r w:rsidR="00FB1F1F">
        <w:rPr>
          <w:rFonts w:ascii="Times New Roman" w:hAnsi="Times New Roman"/>
        </w:rPr>
        <w:t xml:space="preserve"> sam i Mala oaza mira, a proveli su</w:t>
      </w:r>
      <w:r>
        <w:rPr>
          <w:rFonts w:ascii="Times New Roman" w:hAnsi="Times New Roman"/>
        </w:rPr>
        <w:t xml:space="preserve"> ih djelatnici Učen</w:t>
      </w:r>
      <w:r w:rsidR="00FB1F1F">
        <w:rPr>
          <w:rFonts w:ascii="Times New Roman" w:hAnsi="Times New Roman"/>
        </w:rPr>
        <w:t xml:space="preserve">ičkog doma. Projekti su realizirani </w:t>
      </w:r>
      <w:r>
        <w:rPr>
          <w:rFonts w:ascii="Times New Roman" w:hAnsi="Times New Roman"/>
        </w:rPr>
        <w:t>do 31.08.</w:t>
      </w:r>
      <w:r w:rsidR="00FB1F1F">
        <w:rPr>
          <w:rFonts w:ascii="Times New Roman" w:hAnsi="Times New Roman"/>
        </w:rPr>
        <w:t>2024. g. N. . Preneseni višak s izvora 45 su prihodi</w:t>
      </w:r>
      <w:r>
        <w:rPr>
          <w:rFonts w:ascii="Times New Roman" w:hAnsi="Times New Roman"/>
        </w:rPr>
        <w:t xml:space="preserve"> za posebne namjene koji je prenesen </w:t>
      </w:r>
      <w:r w:rsidR="00FB1F1F">
        <w:rPr>
          <w:rFonts w:ascii="Times New Roman" w:hAnsi="Times New Roman"/>
        </w:rPr>
        <w:t xml:space="preserve">iz prethodnih godina. Prihodi su </w:t>
      </w:r>
      <w:r>
        <w:rPr>
          <w:rFonts w:ascii="Times New Roman" w:hAnsi="Times New Roman"/>
        </w:rPr>
        <w:t>utrošen</w:t>
      </w:r>
      <w:r w:rsidR="00FB1F1F">
        <w:rPr>
          <w:rFonts w:ascii="Times New Roman" w:hAnsi="Times New Roman"/>
        </w:rPr>
        <w:t xml:space="preserve">i prema odluci Školskog obora i dobivenoj suglasnosti BBŽ-a u iznosu 12.334,22 eur za </w:t>
      </w:r>
      <w:r>
        <w:rPr>
          <w:rFonts w:ascii="Times New Roman" w:hAnsi="Times New Roman"/>
        </w:rPr>
        <w:t>nabavu nefinancijske imovine.</w:t>
      </w:r>
      <w:r w:rsidR="00FB1F1F">
        <w:rPr>
          <w:rFonts w:ascii="Times New Roman" w:hAnsi="Times New Roman"/>
        </w:rPr>
        <w:t xml:space="preserve"> Ostatak se prenosi u sljedeće razdoblje.</w:t>
      </w:r>
    </w:p>
    <w:p w:rsidR="00956B73" w:rsidRDefault="00956B73" w:rsidP="00655D0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Preneseni višak vlastitih sredstava </w:t>
      </w:r>
      <w:r w:rsidR="00FB1F1F">
        <w:rPr>
          <w:rFonts w:ascii="Times New Roman" w:hAnsi="Times New Roman"/>
        </w:rPr>
        <w:t xml:space="preserve"> izvor 32 </w:t>
      </w:r>
      <w:r>
        <w:rPr>
          <w:rFonts w:ascii="Times New Roman" w:hAnsi="Times New Roman"/>
        </w:rPr>
        <w:t xml:space="preserve">je uložen u nabavu računalne opreme prema odluci Školskog odbora. Za sljedeće razdoblje ostalo je još 551,29 eura </w:t>
      </w:r>
      <w:r w:rsidR="00FB1F1F">
        <w:rPr>
          <w:rFonts w:ascii="Times New Roman" w:hAnsi="Times New Roman"/>
        </w:rPr>
        <w:t>.</w:t>
      </w:r>
    </w:p>
    <w:p w:rsidR="00956B73" w:rsidRDefault="00956B73" w:rsidP="00655D01">
      <w:pPr>
        <w:rPr>
          <w:rFonts w:ascii="Times New Roman" w:hAnsi="Times New Roman"/>
        </w:rPr>
      </w:pPr>
    </w:p>
    <w:p w:rsidR="003C1769" w:rsidRDefault="003C1769" w:rsidP="00655D0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Prijenos sredstva po izvorima financiranja 2024. </w:t>
      </w:r>
    </w:p>
    <w:p w:rsidR="003C1769" w:rsidRDefault="003C1769" w:rsidP="003C1769">
      <w:pPr>
        <w:jc w:val="center"/>
        <w:rPr>
          <w:rFonts w:ascii="Times New Roman" w:hAnsi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332"/>
        <w:gridCol w:w="4332"/>
      </w:tblGrid>
      <w:tr w:rsidR="003C1769" w:rsidRPr="001F6FB5" w:rsidTr="00894860">
        <w:tc>
          <w:tcPr>
            <w:tcW w:w="4332" w:type="dxa"/>
          </w:tcPr>
          <w:p w:rsidR="003C1769" w:rsidRPr="001F6FB5" w:rsidRDefault="003C1769" w:rsidP="00894860">
            <w:pPr>
              <w:jc w:val="both"/>
              <w:rPr>
                <w:rFonts w:ascii="Times New Roman" w:hAnsi="Times New Roman"/>
                <w:b/>
              </w:rPr>
            </w:pPr>
            <w:r w:rsidRPr="001F6FB5">
              <w:rPr>
                <w:rFonts w:ascii="Times New Roman" w:hAnsi="Times New Roman"/>
                <w:b/>
              </w:rPr>
              <w:t>Izvori financiranja</w:t>
            </w:r>
          </w:p>
        </w:tc>
        <w:tc>
          <w:tcPr>
            <w:tcW w:w="4332" w:type="dxa"/>
          </w:tcPr>
          <w:p w:rsidR="003C1769" w:rsidRPr="001F6FB5" w:rsidRDefault="003C1769" w:rsidP="008948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 dan 31.12.2024.</w:t>
            </w:r>
          </w:p>
        </w:tc>
      </w:tr>
      <w:tr w:rsidR="003C1769" w:rsidRPr="006E3B84" w:rsidTr="00894860">
        <w:tc>
          <w:tcPr>
            <w:tcW w:w="4332" w:type="dxa"/>
          </w:tcPr>
          <w:p w:rsidR="003C1769" w:rsidRDefault="003C1769" w:rsidP="008948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   Vlastiti prihodi - preneseni višak</w:t>
            </w:r>
          </w:p>
        </w:tc>
        <w:tc>
          <w:tcPr>
            <w:tcW w:w="4332" w:type="dxa"/>
          </w:tcPr>
          <w:p w:rsidR="003C1769" w:rsidRDefault="003C1769" w:rsidP="008948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8.223,82 </w:t>
            </w:r>
          </w:p>
        </w:tc>
      </w:tr>
      <w:tr w:rsidR="003C1769" w:rsidRPr="006E3B84" w:rsidTr="00894860">
        <w:tc>
          <w:tcPr>
            <w:tcW w:w="4332" w:type="dxa"/>
          </w:tcPr>
          <w:p w:rsidR="003C1769" w:rsidRDefault="003C1769" w:rsidP="008948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   Prihodi za posebne namjene</w:t>
            </w:r>
          </w:p>
        </w:tc>
        <w:tc>
          <w:tcPr>
            <w:tcW w:w="4332" w:type="dxa"/>
          </w:tcPr>
          <w:p w:rsidR="003C1769" w:rsidRDefault="003C1769" w:rsidP="008948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13.686,92</w:t>
            </w:r>
          </w:p>
        </w:tc>
      </w:tr>
      <w:tr w:rsidR="003C1769" w:rsidRPr="006E3B84" w:rsidTr="00894860">
        <w:tc>
          <w:tcPr>
            <w:tcW w:w="4332" w:type="dxa"/>
          </w:tcPr>
          <w:p w:rsidR="003C1769" w:rsidRDefault="0096101E" w:rsidP="009610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 Decentralizirana sredstva</w:t>
            </w:r>
          </w:p>
        </w:tc>
        <w:tc>
          <w:tcPr>
            <w:tcW w:w="4332" w:type="dxa"/>
          </w:tcPr>
          <w:p w:rsidR="003C1769" w:rsidRDefault="003C1769" w:rsidP="003C176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- 9.502,18</w:t>
            </w:r>
          </w:p>
        </w:tc>
      </w:tr>
    </w:tbl>
    <w:p w:rsidR="003C1769" w:rsidRDefault="003C1769" w:rsidP="00655D01">
      <w:pPr>
        <w:rPr>
          <w:rFonts w:ascii="Times New Roman" w:hAnsi="Times New Roman"/>
        </w:rPr>
      </w:pPr>
    </w:p>
    <w:p w:rsidR="000069F5" w:rsidRDefault="000069F5" w:rsidP="00655D01">
      <w:pPr>
        <w:rPr>
          <w:rFonts w:ascii="Times New Roman" w:hAnsi="Times New Roman"/>
        </w:rPr>
      </w:pPr>
    </w:p>
    <w:p w:rsidR="00E56202" w:rsidRDefault="003847D2" w:rsidP="00655D01">
      <w:pPr>
        <w:rPr>
          <w:rFonts w:ascii="Times New Roman" w:hAnsi="Times New Roman"/>
        </w:rPr>
      </w:pPr>
      <w:r>
        <w:rPr>
          <w:rFonts w:ascii="Times New Roman" w:hAnsi="Times New Roman"/>
        </w:rPr>
        <w:t>U Garešnici, 19.02.2025</w:t>
      </w:r>
      <w:r w:rsidR="00E56202">
        <w:rPr>
          <w:rFonts w:ascii="Times New Roman" w:hAnsi="Times New Roman"/>
        </w:rPr>
        <w:t xml:space="preserve">.                                                                         </w:t>
      </w:r>
    </w:p>
    <w:p w:rsidR="00655D01" w:rsidRDefault="00655D01" w:rsidP="00655D01">
      <w:pPr>
        <w:rPr>
          <w:rFonts w:ascii="Times New Roman" w:hAnsi="Times New Roman"/>
        </w:rPr>
      </w:pPr>
    </w:p>
    <w:p w:rsidR="00655D01" w:rsidRDefault="00655D01" w:rsidP="00E82A97">
      <w:pPr>
        <w:rPr>
          <w:rFonts w:ascii="Times New Roman" w:hAnsi="Times New Roman"/>
        </w:rPr>
      </w:pPr>
    </w:p>
    <w:p w:rsidR="00D206E0" w:rsidRDefault="00D206E0" w:rsidP="00E82A9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</w:p>
    <w:sectPr w:rsidR="00D206E0" w:rsidSect="001A3F58">
      <w:pgSz w:w="15840" w:h="12240" w:orient="landscape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E15"/>
    <w:rsid w:val="000069F5"/>
    <w:rsid w:val="00010ED0"/>
    <w:rsid w:val="0002191A"/>
    <w:rsid w:val="000219FF"/>
    <w:rsid w:val="00025B34"/>
    <w:rsid w:val="00025CA2"/>
    <w:rsid w:val="00027CB3"/>
    <w:rsid w:val="00083727"/>
    <w:rsid w:val="00093400"/>
    <w:rsid w:val="000B666F"/>
    <w:rsid w:val="000E7F16"/>
    <w:rsid w:val="00103452"/>
    <w:rsid w:val="00106E52"/>
    <w:rsid w:val="00140E1E"/>
    <w:rsid w:val="001474B4"/>
    <w:rsid w:val="00155BD6"/>
    <w:rsid w:val="001652F3"/>
    <w:rsid w:val="00182652"/>
    <w:rsid w:val="00193EAD"/>
    <w:rsid w:val="00194A31"/>
    <w:rsid w:val="001A3F58"/>
    <w:rsid w:val="001B4587"/>
    <w:rsid w:val="001B64E4"/>
    <w:rsid w:val="001F6FB5"/>
    <w:rsid w:val="00205A4C"/>
    <w:rsid w:val="00227873"/>
    <w:rsid w:val="00270693"/>
    <w:rsid w:val="002910FD"/>
    <w:rsid w:val="002F5CD1"/>
    <w:rsid w:val="003042EF"/>
    <w:rsid w:val="00307D7C"/>
    <w:rsid w:val="00350B52"/>
    <w:rsid w:val="003847D2"/>
    <w:rsid w:val="003A559D"/>
    <w:rsid w:val="003B1EEB"/>
    <w:rsid w:val="003C1769"/>
    <w:rsid w:val="003C19B4"/>
    <w:rsid w:val="003D2856"/>
    <w:rsid w:val="00416454"/>
    <w:rsid w:val="00423B57"/>
    <w:rsid w:val="00431111"/>
    <w:rsid w:val="00443AB6"/>
    <w:rsid w:val="004464B9"/>
    <w:rsid w:val="004555ED"/>
    <w:rsid w:val="004A3C6E"/>
    <w:rsid w:val="004B2B21"/>
    <w:rsid w:val="005363F8"/>
    <w:rsid w:val="00542E15"/>
    <w:rsid w:val="00595B91"/>
    <w:rsid w:val="005A38A4"/>
    <w:rsid w:val="005A62BF"/>
    <w:rsid w:val="005B3C46"/>
    <w:rsid w:val="005E0D44"/>
    <w:rsid w:val="005F50DA"/>
    <w:rsid w:val="00600D70"/>
    <w:rsid w:val="00635E99"/>
    <w:rsid w:val="00655D01"/>
    <w:rsid w:val="00656228"/>
    <w:rsid w:val="006713DA"/>
    <w:rsid w:val="0069290F"/>
    <w:rsid w:val="006963B6"/>
    <w:rsid w:val="006B0A84"/>
    <w:rsid w:val="006D2D5D"/>
    <w:rsid w:val="006E3B84"/>
    <w:rsid w:val="006F1F53"/>
    <w:rsid w:val="006F6487"/>
    <w:rsid w:val="006F71C0"/>
    <w:rsid w:val="007061F9"/>
    <w:rsid w:val="00715B6B"/>
    <w:rsid w:val="00733243"/>
    <w:rsid w:val="00776BD0"/>
    <w:rsid w:val="007906CE"/>
    <w:rsid w:val="007D1436"/>
    <w:rsid w:val="007D4295"/>
    <w:rsid w:val="007E1DBD"/>
    <w:rsid w:val="007F629D"/>
    <w:rsid w:val="00824921"/>
    <w:rsid w:val="008262DE"/>
    <w:rsid w:val="008357CF"/>
    <w:rsid w:val="00886D26"/>
    <w:rsid w:val="008A22A6"/>
    <w:rsid w:val="008D0B30"/>
    <w:rsid w:val="008D2EEB"/>
    <w:rsid w:val="008E3543"/>
    <w:rsid w:val="009158CC"/>
    <w:rsid w:val="009233DA"/>
    <w:rsid w:val="00933218"/>
    <w:rsid w:val="009334FF"/>
    <w:rsid w:val="00950C52"/>
    <w:rsid w:val="00956B73"/>
    <w:rsid w:val="0096101E"/>
    <w:rsid w:val="009625F7"/>
    <w:rsid w:val="009A2123"/>
    <w:rsid w:val="009A73C0"/>
    <w:rsid w:val="009C1150"/>
    <w:rsid w:val="009C6DF9"/>
    <w:rsid w:val="009E608C"/>
    <w:rsid w:val="00A233FC"/>
    <w:rsid w:val="00A30396"/>
    <w:rsid w:val="00A4783C"/>
    <w:rsid w:val="00A64887"/>
    <w:rsid w:val="00A76A29"/>
    <w:rsid w:val="00A771D1"/>
    <w:rsid w:val="00A7749C"/>
    <w:rsid w:val="00AB4D74"/>
    <w:rsid w:val="00AC7FF3"/>
    <w:rsid w:val="00B33F71"/>
    <w:rsid w:val="00B349CE"/>
    <w:rsid w:val="00B42609"/>
    <w:rsid w:val="00B536E3"/>
    <w:rsid w:val="00B5578F"/>
    <w:rsid w:val="00BA7324"/>
    <w:rsid w:val="00BC2928"/>
    <w:rsid w:val="00BF3712"/>
    <w:rsid w:val="00C33D44"/>
    <w:rsid w:val="00C40765"/>
    <w:rsid w:val="00C41B0E"/>
    <w:rsid w:val="00C44051"/>
    <w:rsid w:val="00C50413"/>
    <w:rsid w:val="00C7096A"/>
    <w:rsid w:val="00C87CBF"/>
    <w:rsid w:val="00C97B9F"/>
    <w:rsid w:val="00CB278B"/>
    <w:rsid w:val="00CC6FF2"/>
    <w:rsid w:val="00D206E0"/>
    <w:rsid w:val="00D41A4D"/>
    <w:rsid w:val="00D543D0"/>
    <w:rsid w:val="00D776B3"/>
    <w:rsid w:val="00D92F6C"/>
    <w:rsid w:val="00E002D9"/>
    <w:rsid w:val="00E226B8"/>
    <w:rsid w:val="00E33144"/>
    <w:rsid w:val="00E56202"/>
    <w:rsid w:val="00E73FEC"/>
    <w:rsid w:val="00E82A97"/>
    <w:rsid w:val="00EA0BE6"/>
    <w:rsid w:val="00EA5EB0"/>
    <w:rsid w:val="00EA70A1"/>
    <w:rsid w:val="00EC187A"/>
    <w:rsid w:val="00ED20B7"/>
    <w:rsid w:val="00EF0A8A"/>
    <w:rsid w:val="00EF47E1"/>
    <w:rsid w:val="00F208DC"/>
    <w:rsid w:val="00F259A9"/>
    <w:rsid w:val="00F34C97"/>
    <w:rsid w:val="00F36CE8"/>
    <w:rsid w:val="00F55133"/>
    <w:rsid w:val="00F60AF5"/>
    <w:rsid w:val="00F76109"/>
    <w:rsid w:val="00FA1812"/>
    <w:rsid w:val="00FA6BB5"/>
    <w:rsid w:val="00FB1F1F"/>
    <w:rsid w:val="00FB6D8B"/>
    <w:rsid w:val="00FD430F"/>
    <w:rsid w:val="00FD7F41"/>
    <w:rsid w:val="00FF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4EEF2-2A25-445A-A1E2-8F16EBD2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E15"/>
    <w:pPr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542E15"/>
    <w:pPr>
      <w:keepNext/>
      <w:jc w:val="center"/>
      <w:outlineLvl w:val="0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42E15"/>
    <w:rPr>
      <w:rFonts w:ascii="Trebuchet MS" w:eastAsia="Times New Roman" w:hAnsi="Trebuchet MS" w:cs="Times New Roman"/>
      <w:b/>
      <w:bCs/>
      <w:sz w:val="28"/>
      <w:szCs w:val="24"/>
      <w:lang w:eastAsia="hr-HR"/>
    </w:rPr>
  </w:style>
  <w:style w:type="table" w:customStyle="1" w:styleId="TableGrid">
    <w:name w:val="TableGrid"/>
    <w:rsid w:val="000B666F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eetkatablice">
    <w:name w:val="Table Grid"/>
    <w:basedOn w:val="Obinatablica"/>
    <w:uiPriority w:val="39"/>
    <w:rsid w:val="009C1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73FE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3FEC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3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8B10E-9C29-409F-B469-A76BD7077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</dc:creator>
  <cp:keywords/>
  <dc:description/>
  <cp:lastModifiedBy>Marge</cp:lastModifiedBy>
  <cp:revision>2</cp:revision>
  <cp:lastPrinted>2025-02-18T09:23:00Z</cp:lastPrinted>
  <dcterms:created xsi:type="dcterms:W3CDTF">2025-02-27T07:20:00Z</dcterms:created>
  <dcterms:modified xsi:type="dcterms:W3CDTF">2025-02-27T07:20:00Z</dcterms:modified>
</cp:coreProperties>
</file>